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ind w:left="2099" w:right="2122" w:firstLine="0"/>
        <w:jc w:val="center"/>
        <w:rPr>
          <w:rFonts w:hint="eastAsia" w:ascii="仿宋" w:eastAsia="仿宋"/>
          <w:b/>
          <w:sz w:val="36"/>
        </w:rPr>
      </w:pPr>
      <w:r>
        <w:rPr>
          <w:rFonts w:hint="eastAsia" w:ascii="仿宋" w:eastAsia="仿宋"/>
          <w:b/>
          <w:sz w:val="36"/>
        </w:rPr>
        <w:t>杭州市临安区第一人民医院保安项目</w:t>
      </w:r>
      <w:r>
        <w:rPr>
          <w:rFonts w:hint="eastAsia" w:ascii="仿宋" w:eastAsia="仿宋"/>
          <w:b/>
          <w:sz w:val="36"/>
          <w:lang w:eastAsia="zh-CN"/>
        </w:rPr>
        <w:t>调研</w:t>
      </w:r>
      <w:r>
        <w:rPr>
          <w:rFonts w:hint="eastAsia" w:ascii="仿宋" w:eastAsia="仿宋"/>
          <w:b/>
          <w:sz w:val="36"/>
        </w:rPr>
        <w:t>要求</w:t>
      </w:r>
    </w:p>
    <w:p>
      <w:pPr>
        <w:pStyle w:val="3"/>
        <w:spacing w:before="168" w:line="369" w:lineRule="auto"/>
        <w:ind w:left="1260" w:right="395" w:firstLine="480"/>
        <w:jc w:val="both"/>
      </w:pPr>
      <w:r>
        <w:rPr>
          <w:spacing w:val="-3"/>
        </w:rPr>
        <w:t>本次</w:t>
      </w:r>
      <w:r>
        <w:rPr>
          <w:rFonts w:hint="eastAsia"/>
          <w:spacing w:val="-3"/>
          <w:lang w:eastAsia="zh-CN"/>
        </w:rPr>
        <w:t>调研</w:t>
      </w:r>
      <w:r>
        <w:rPr>
          <w:spacing w:val="-3"/>
        </w:rPr>
        <w:t>为安保服务项目，投标人应根据</w:t>
      </w:r>
      <w:r>
        <w:rPr>
          <w:rFonts w:hint="eastAsia"/>
          <w:spacing w:val="-3"/>
          <w:lang w:eastAsia="zh-CN"/>
        </w:rPr>
        <w:t>调研</w:t>
      </w:r>
      <w:r>
        <w:rPr>
          <w:spacing w:val="-3"/>
        </w:rPr>
        <w:t xml:space="preserve">文件所提出的服务要求，综合考虑适应性， </w:t>
      </w:r>
      <w:r>
        <w:rPr>
          <w:spacing w:val="-8"/>
        </w:rPr>
        <w:t>选择具有最佳性能价格比的方案前来投标。</w:t>
      </w:r>
    </w:p>
    <w:p>
      <w:pPr>
        <w:pStyle w:val="4"/>
        <w:spacing w:line="305" w:lineRule="exact"/>
        <w:ind w:left="1260"/>
      </w:pPr>
      <w:bookmarkStart w:id="0" w:name="一、项目介绍"/>
      <w:bookmarkEnd w:id="0"/>
      <w:r>
        <w:t>一、项目介绍</w:t>
      </w:r>
    </w:p>
    <w:p>
      <w:pPr>
        <w:spacing w:before="165" w:line="367" w:lineRule="auto"/>
        <w:ind w:left="1260" w:right="6389" w:firstLine="480"/>
        <w:jc w:val="left"/>
        <w:rPr>
          <w:b/>
          <w:sz w:val="24"/>
        </w:rPr>
      </w:pPr>
      <w:r>
        <w:rPr>
          <w:sz w:val="24"/>
        </w:rPr>
        <w:t>本次</w:t>
      </w:r>
      <w:r>
        <w:rPr>
          <w:rFonts w:hint="eastAsia"/>
          <w:sz w:val="24"/>
          <w:lang w:eastAsia="zh-CN"/>
        </w:rPr>
        <w:t>调研</w:t>
      </w:r>
      <w:r>
        <w:rPr>
          <w:sz w:val="24"/>
        </w:rPr>
        <w:t>服务范围：安保服务。</w:t>
      </w:r>
      <w:r>
        <w:rPr>
          <w:b/>
          <w:sz w:val="24"/>
        </w:rPr>
        <w:t>二、采购内容和采购需求：</w:t>
      </w:r>
    </w:p>
    <w:p>
      <w:pPr>
        <w:pStyle w:val="4"/>
        <w:spacing w:before="53"/>
      </w:pPr>
      <w:bookmarkStart w:id="1" w:name="（一）服务要求："/>
      <w:bookmarkEnd w:id="1"/>
      <w:r>
        <w:t>（一）服务要求：</w:t>
      </w:r>
    </w:p>
    <w:p>
      <w:pPr>
        <w:pStyle w:val="3"/>
        <w:spacing w:before="215" w:line="364" w:lineRule="auto"/>
        <w:ind w:left="1260" w:right="623" w:firstLine="480"/>
        <w:jc w:val="both"/>
      </w:pPr>
      <w:r>
        <w:t>1、熟悉周边的环境，能处理和应对公共秩序维护工作，能正确使用各类消防、物防、技防器械和设备，能够熟悉、掌握各类刑事、治安案件和各类灾害事故的应急预案；来人来访的通报、证件检验、登记等守护和巡逻，维护院内道路交通及公共秩序；处理治安及其他突发事件；负责防盗、防火管理。积极主动配合、服从对口管理部门的临时应急调度，协助处理医疗纠纷。协助医院消控中心建立完善的消防制度和消防工作计划，应定期接受消防培训并掌握现有消防设施设备的使用方法，并能及时处理各种火灾事故。</w:t>
      </w:r>
    </w:p>
    <w:p>
      <w:pPr>
        <w:pStyle w:val="3"/>
        <w:spacing w:before="210" w:line="362" w:lineRule="auto"/>
        <w:ind w:left="1260" w:right="623" w:firstLine="480"/>
      </w:pPr>
      <w:r>
        <w:t>2、疫情卡点保安人员要定人定岗由甲方统一培训后上岗，礼貌待人、服务态度好，熟悉卡点的主要事项。</w:t>
      </w:r>
    </w:p>
    <w:p>
      <w:pPr>
        <w:pStyle w:val="3"/>
        <w:spacing w:before="1"/>
        <w:rPr>
          <w:sz w:val="17"/>
        </w:rPr>
      </w:pPr>
    </w:p>
    <w:p>
      <w:pPr>
        <w:pStyle w:val="3"/>
        <w:spacing w:line="362" w:lineRule="auto"/>
        <w:ind w:left="1260" w:right="625" w:firstLine="480"/>
      </w:pPr>
      <w:r>
        <w:t>3、实行优质服务，优质管理，为甲方提供文明礼貌、主动热情周到的服务，最大限度满足甲方服务质量的要求。</w:t>
      </w:r>
    </w:p>
    <w:p>
      <w:pPr>
        <w:pStyle w:val="3"/>
        <w:spacing w:before="5" w:line="242" w:lineRule="auto"/>
        <w:ind w:left="1039" w:right="337" w:firstLine="660"/>
        <w:jc w:val="both"/>
      </w:pPr>
      <w:r>
        <w:rPr>
          <w:sz w:val="22"/>
        </w:rPr>
        <w:t>4、</w:t>
      </w:r>
      <w:r>
        <w:t>乙方须根据相关法律法规及制定符合医院实际情况的管理方案实施管理，并按要求及人员数量等额自备制服（结合甲方情况制定制服）、对讲机、照明电筒等全套安全器械。首次交接时，甲方可将现有装备移交给乙方使用，乙方应对移交装备进行维护和保养，确保装备完好率， 如发生损坏、丢失，由乙方负责赔</w:t>
      </w:r>
    </w:p>
    <w:p>
      <w:pPr>
        <w:pStyle w:val="3"/>
        <w:spacing w:before="3" w:line="242" w:lineRule="auto"/>
        <w:ind w:left="1039" w:right="368" w:firstLine="720"/>
        <w:jc w:val="both"/>
      </w:pPr>
      <w:r>
        <w:t>5、乙方对其人员实行准军事化管理，每周不少于3小时的业务培训和素质教育，做好培训记录，相关业务培训所发生的费用由乙方负责。因管理不善，保安员内部所发生的一切问题，全部责任由乙方承担。同时，保安人员在执行任务中受到人身伤害，由乙方负全责。</w:t>
      </w:r>
    </w:p>
    <w:p>
      <w:pPr>
        <w:pStyle w:val="3"/>
        <w:spacing w:before="2" w:line="242" w:lineRule="auto"/>
        <w:ind w:left="1039" w:right="368" w:firstLine="720"/>
      </w:pPr>
      <w:r>
        <w:t>6、甲方确定值勤岗位及要求后，由乙方根据甲方提供的岗位职责进行完善，报甲方保卫科批准后组织实施。乙方全天候24小时对甲方各区域进行治安巡查、消防监控及参与突发事件的处理(主要为甲方范围内火灾的发现、报警、初期火灾的救援、治安突发、群体性、重大疫情应急病区的警戒及看守、自然灾害等事件）。</w:t>
      </w:r>
    </w:p>
    <w:p>
      <w:pPr>
        <w:pStyle w:val="3"/>
        <w:spacing w:before="1" w:line="242" w:lineRule="auto"/>
        <w:ind w:left="1039" w:right="488" w:firstLine="720"/>
      </w:pPr>
      <w:r>
        <w:t>7、维护甲方的正常医疗秩序，保障甲方内所有人员的人身和财产安全，保护甲方的设施和设备及各类财产不受损失，预防各类政治、刑事案件、治安事件和火灾事故的发生。</w:t>
      </w:r>
    </w:p>
    <w:p>
      <w:pPr>
        <w:pStyle w:val="3"/>
        <w:spacing w:before="3" w:line="242" w:lineRule="auto"/>
        <w:ind w:left="1039" w:right="488" w:firstLine="720"/>
      </w:pPr>
      <w:r>
        <w:t>8、配合公安机关、甲方保卫科做好信息的收集工作，防止各类敌对势力的破坏和渗透， 对发现的可疑情况和线索应及时向甲方安全保卫科报告。</w:t>
      </w:r>
    </w:p>
    <w:p>
      <w:pPr>
        <w:pStyle w:val="3"/>
        <w:ind w:left="1759"/>
      </w:pPr>
      <w:r>
        <w:t>9、负责医院内甲方财务收费款及重要物资押送途中的安全，确保不发生任何事故。</w:t>
      </w:r>
    </w:p>
    <w:p>
      <w:pPr>
        <w:pStyle w:val="3"/>
        <w:spacing w:before="5" w:line="242" w:lineRule="auto"/>
        <w:ind w:left="1039" w:right="368" w:firstLine="720"/>
      </w:pPr>
      <w:r>
        <w:t>10、组织人员对院内安全存在的隐患进行查找，及时报告不安全因素，并配合甲方保卫科进行整改。</w:t>
      </w:r>
    </w:p>
    <w:p>
      <w:pPr>
        <w:pStyle w:val="3"/>
        <w:spacing w:line="242" w:lineRule="auto"/>
        <w:ind w:left="1039" w:right="368" w:firstLine="720"/>
      </w:pPr>
      <w:r>
        <w:t>11、甲方指定部分岗位队员为兼职消防队员，全体保安人员均为义务消防员，乙方应对保安员进行岗前培训，特别是消防技能的培训，使保安员具有一定的业务素质。</w:t>
      </w:r>
    </w:p>
    <w:p>
      <w:pPr>
        <w:spacing w:after="0" w:line="242" w:lineRule="auto"/>
        <w:sectPr>
          <w:type w:val="continuous"/>
          <w:pgSz w:w="11910" w:h="16840"/>
          <w:pgMar w:top="980" w:right="420" w:bottom="280" w:left="0" w:header="720" w:footer="720" w:gutter="0"/>
          <w:cols w:space="720" w:num="1"/>
        </w:sectPr>
      </w:pPr>
    </w:p>
    <w:p>
      <w:pPr>
        <w:pStyle w:val="3"/>
        <w:spacing w:before="41" w:line="242" w:lineRule="auto"/>
        <w:ind w:left="1039" w:right="368" w:firstLine="720"/>
        <w:jc w:val="both"/>
      </w:pPr>
      <w:r>
        <w:t>12、全体保安人员均为应急救援队员，乙方应对保安人员进行培训，特别是快速反应应急救援培训，当发生火灾、恶性治安案件、重大疫情应急病区的警戒及其他自然灾害突发事件时， 3分钟内须有保安员赶到现场掌控局面，5—10分钟之内须派出足够人手参加救援。</w:t>
      </w:r>
    </w:p>
    <w:p>
      <w:pPr>
        <w:pStyle w:val="3"/>
        <w:spacing w:before="2" w:line="242" w:lineRule="auto"/>
        <w:ind w:left="1039" w:right="368" w:firstLine="720"/>
      </w:pPr>
      <w:r>
        <w:t>13、乙方建立完善的各项应急救援方案（火警、爆炸、投毒、群体性事件、其他破坏、盗窃等)，并根据突发治安事件的规模和严重程度、事发时间（白天和夜间）制定大、中、小型突发治安事件应急保卫小组的组织方式或应急预案启动方法、处理流程等并按要求进行演练，确保各类突发事件得到快速、妥善处理。防止甲方区域内重大火灾、治安、交通、刑事等事件发生。</w:t>
      </w:r>
    </w:p>
    <w:p>
      <w:pPr>
        <w:pStyle w:val="3"/>
        <w:spacing w:before="3" w:line="242" w:lineRule="auto"/>
        <w:ind w:left="1039" w:right="368" w:firstLine="720"/>
        <w:jc w:val="both"/>
      </w:pPr>
      <w:r>
        <w:t>14、乙方应建立完善的管理制度。包括保安队管理制度、接报警制度、重要人员及重要目标警卫制度、门卫值班制度、保安消防安全管理制度、车辆安全管理制度、值班巡逻制度、放行制度、交接班制度、奖惩制度、军事训练制度、会议制度、安全汇报制度及向甲方保卫科提供一份详细年度计划。</w:t>
      </w:r>
    </w:p>
    <w:p>
      <w:pPr>
        <w:pStyle w:val="3"/>
        <w:spacing w:before="3" w:line="242" w:lineRule="auto"/>
        <w:ind w:left="1039" w:right="368" w:firstLine="720"/>
      </w:pPr>
      <w:r>
        <w:t>15、乙方应按要求派出经培训合格并取得相关资格证书的专人在消防、消控中心内实行24 小时值班，严密监控，发现情况立即报告和处理并做好登记，本岗位人员不得随意更换。</w:t>
      </w:r>
    </w:p>
    <w:p>
      <w:pPr>
        <w:pStyle w:val="3"/>
        <w:spacing w:before="1"/>
        <w:ind w:left="1759"/>
      </w:pPr>
      <w:r>
        <w:t>16、保安人员应熟悉甲方整体地理环境及监控范围，熟练操作、维护使用相关工作的设备。</w:t>
      </w:r>
    </w:p>
    <w:p>
      <w:pPr>
        <w:pStyle w:val="3"/>
        <w:spacing w:before="4" w:line="242" w:lineRule="auto"/>
        <w:ind w:left="1039" w:right="368" w:firstLine="720"/>
        <w:jc w:val="both"/>
      </w:pPr>
      <w:r>
        <w:t>17、积极配合甲方做好与安全相关的宣传工作（服务公司必须保证每年有一次对甲方开展安全宣传教育的活动）。认真组织做好按照医院工作要求进行的相关应急处置演练，要求每半年进行一次治安、反恐类应急处置演练，制定方案、脚本，提前筹划、演排，按时完成。</w:t>
      </w:r>
    </w:p>
    <w:p>
      <w:pPr>
        <w:pStyle w:val="3"/>
      </w:pPr>
    </w:p>
    <w:p>
      <w:pPr>
        <w:pStyle w:val="3"/>
        <w:spacing w:before="3"/>
        <w:rPr>
          <w:sz w:val="33"/>
        </w:rPr>
      </w:pPr>
    </w:p>
    <w:p>
      <w:pPr>
        <w:pStyle w:val="4"/>
        <w:spacing w:before="1" w:line="362" w:lineRule="auto"/>
        <w:ind w:right="7880"/>
      </w:pPr>
      <w:bookmarkStart w:id="2" w:name="（二）主要事项： 1、巡查"/>
      <w:bookmarkEnd w:id="2"/>
      <w:r>
        <w:t>（二）主要事项： 1、巡查</w:t>
      </w:r>
    </w:p>
    <w:p>
      <w:pPr>
        <w:pStyle w:val="3"/>
        <w:spacing w:line="364" w:lineRule="auto"/>
        <w:ind w:left="1260" w:right="437" w:firstLine="420"/>
        <w:jc w:val="both"/>
      </w:pPr>
      <w:r>
        <w:rPr>
          <w:spacing w:val="-8"/>
        </w:rPr>
        <w:t xml:space="preserve">全院范围内安排 </w:t>
      </w:r>
      <w:r>
        <w:t>24</w:t>
      </w:r>
      <w:r>
        <w:rPr>
          <w:spacing w:val="-10"/>
        </w:rPr>
        <w:t xml:space="preserve"> 小时巡查。穿戴统一制服，佩戴胸卡，装备佩戴规范。文明执勤，训练</w:t>
      </w:r>
      <w:r>
        <w:rPr>
          <w:spacing w:val="-15"/>
        </w:rPr>
        <w:t>有素，言语规范，礼貌待客，认真负责；配备对讲装置和其他必备的安全护卫器械。明确巡查工作</w:t>
      </w:r>
      <w:r>
        <w:rPr>
          <w:spacing w:val="-19"/>
        </w:rPr>
        <w:t>职责，规范巡视工作流程，制定相对固定的巡视路线，对重要区域、部位、设备机房进行重点巡视</w:t>
      </w:r>
      <w:r>
        <w:rPr>
          <w:spacing w:val="-24"/>
        </w:rPr>
        <w:t>并记录巡视情况，及时发现和处理各种安全和事故隐患。巡视时必须使用巡更设备。监控室应保持巡</w:t>
      </w:r>
      <w:r>
        <w:rPr>
          <w:spacing w:val="-8"/>
        </w:rPr>
        <w:t>更记录。在接到监控室发出的指令后，巡视人员应及时到达事发现场，采取相应措施妥善处理； 如巡视时发现异常情况，应立即通知有关部门并在现场采取必要措施，随时准备启动并执行相应</w:t>
      </w:r>
      <w:r>
        <w:rPr>
          <w:spacing w:val="-7"/>
        </w:rPr>
        <w:t>的应急预案。</w:t>
      </w:r>
    </w:p>
    <w:p>
      <w:pPr>
        <w:pStyle w:val="4"/>
        <w:spacing w:line="305" w:lineRule="exact"/>
        <w:ind w:left="1730"/>
      </w:pPr>
      <w:bookmarkStart w:id="3" w:name="2、突发事件处理"/>
      <w:bookmarkEnd w:id="3"/>
      <w:r>
        <w:t>2、突发事件处理</w:t>
      </w:r>
    </w:p>
    <w:p>
      <w:pPr>
        <w:pStyle w:val="3"/>
        <w:spacing w:before="144" w:line="364" w:lineRule="auto"/>
        <w:ind w:left="1260" w:right="320" w:firstLine="540"/>
      </w:pPr>
      <w:r>
        <w:t xml:space="preserve">按照要求制订各类突发事件应急预案，并将预案内容在保安室、监控室、机房等处张榜 </w:t>
      </w:r>
      <w:r>
        <w:rPr>
          <w:spacing w:val="-16"/>
        </w:rPr>
        <w:t xml:space="preserve">悬挂。在各楼层固定位置悬挂疏散示意图及引路标志，每年组织不少于 </w:t>
      </w:r>
      <w:r>
        <w:t>1</w:t>
      </w:r>
      <w:r>
        <w:rPr>
          <w:spacing w:val="-12"/>
        </w:rPr>
        <w:t xml:space="preserve"> 次的突发事件应急演习。</w:t>
      </w:r>
      <w:r>
        <w:rPr>
          <w:spacing w:val="-18"/>
        </w:rPr>
        <w:t>当发生台风、暴雨等灾害性天气及其他危害公共安全的突发事件时，应采取以下应急措施： 对设备</w:t>
      </w:r>
      <w:r>
        <w:rPr>
          <w:spacing w:val="-10"/>
        </w:rPr>
        <w:t>机房、停车场、广告牌、电线杆等露天设施进行检查和加固。各岗位人员必须按规定实行岗位警戒，根据不同突发事件的现场情况进行应变处理，对医患纠纷中如有花圈、横幅的要第一时间进行收缴，并在有关部门到达现场前，确保人身安全，减少财产损失，并全力协助处理相关事宜。</w:t>
      </w:r>
      <w:r>
        <w:rPr>
          <w:spacing w:val="-12"/>
        </w:rPr>
        <w:t>对待上访人员做到耐心说服，及时报告有关部门予以妥善处置。若医院有重大事</w:t>
      </w:r>
    </w:p>
    <w:p>
      <w:pPr>
        <w:spacing w:after="0" w:line="364" w:lineRule="auto"/>
        <w:sectPr>
          <w:pgSz w:w="11910" w:h="16840"/>
          <w:pgMar w:top="920" w:right="420" w:bottom="280" w:left="0" w:header="720" w:footer="720" w:gutter="0"/>
          <w:cols w:space="720" w:num="1"/>
        </w:sectPr>
      </w:pPr>
    </w:p>
    <w:p>
      <w:pPr>
        <w:spacing w:before="49" w:line="362" w:lineRule="auto"/>
        <w:ind w:left="1680" w:right="2833" w:hanging="420"/>
        <w:jc w:val="both"/>
        <w:rPr>
          <w:b/>
          <w:sz w:val="24"/>
        </w:rPr>
      </w:pPr>
      <w:r>
        <w:rPr>
          <w:spacing w:val="-6"/>
          <w:sz w:val="24"/>
        </w:rPr>
        <w:t xml:space="preserve">件需求，临时增派 </w:t>
      </w:r>
      <w:r>
        <w:rPr>
          <w:sz w:val="24"/>
        </w:rPr>
        <w:t>10</w:t>
      </w:r>
      <w:r>
        <w:rPr>
          <w:spacing w:val="-8"/>
          <w:sz w:val="24"/>
        </w:rPr>
        <w:t xml:space="preserve"> 名以下的保安力量，</w:t>
      </w:r>
      <w:r>
        <w:rPr>
          <w:sz w:val="24"/>
        </w:rPr>
        <w:t>24</w:t>
      </w:r>
      <w:r>
        <w:rPr>
          <w:spacing w:val="-8"/>
          <w:sz w:val="24"/>
        </w:rPr>
        <w:t xml:space="preserve"> 小时内不另行计算费用。</w:t>
      </w:r>
      <w:r>
        <w:rPr>
          <w:b/>
          <w:spacing w:val="-8"/>
          <w:sz w:val="24"/>
        </w:rPr>
        <w:t>3、诊室、行政值班</w:t>
      </w:r>
    </w:p>
    <w:p>
      <w:pPr>
        <w:pStyle w:val="3"/>
        <w:spacing w:before="2" w:line="364" w:lineRule="auto"/>
        <w:ind w:left="1260" w:right="493" w:firstLine="540"/>
        <w:jc w:val="both"/>
      </w:pPr>
      <w:r>
        <w:t>穿戴统一制服，佩戴胸卡，装备佩戴规范，仪容仪表规范整齐，当值时坐姿挺直，站岗</w:t>
      </w:r>
      <w:r>
        <w:rPr>
          <w:spacing w:val="-10"/>
        </w:rPr>
        <w:t>时不倚不靠。文明执勤，训练有素，言语规范，礼貌待客，认真负责；配备对讲装置和其他必备的安全护卫器械。维护放诊秩序及行政区域安全、正常的工作环境，杜绝危险物品进入行政区域内。</w:t>
      </w:r>
    </w:p>
    <w:p>
      <w:pPr>
        <w:pStyle w:val="4"/>
      </w:pPr>
      <w:bookmarkStart w:id="4" w:name="4、保卫科管理方案的内容要求"/>
      <w:bookmarkEnd w:id="4"/>
      <w:r>
        <w:t>4、保卫科管理方案的内容要求</w:t>
      </w:r>
    </w:p>
    <w:p>
      <w:pPr>
        <w:pStyle w:val="11"/>
        <w:numPr>
          <w:ilvl w:val="0"/>
          <w:numId w:val="1"/>
        </w:numPr>
        <w:tabs>
          <w:tab w:val="left" w:pos="2280"/>
        </w:tabs>
        <w:spacing w:before="144" w:after="0" w:line="240" w:lineRule="auto"/>
        <w:ind w:left="2280" w:right="0" w:hanging="600"/>
        <w:jc w:val="left"/>
        <w:rPr>
          <w:sz w:val="24"/>
        </w:rPr>
      </w:pPr>
      <w:r>
        <w:rPr>
          <w:sz w:val="24"/>
        </w:rPr>
        <w:t>拟采取的管理及服务方式。包括：组织架构、机构设置、信息反馈渠道等。</w:t>
      </w:r>
    </w:p>
    <w:p>
      <w:pPr>
        <w:pStyle w:val="11"/>
        <w:numPr>
          <w:ilvl w:val="0"/>
          <w:numId w:val="1"/>
        </w:numPr>
        <w:tabs>
          <w:tab w:val="left" w:pos="2285"/>
        </w:tabs>
        <w:spacing w:before="156" w:after="0" w:line="362" w:lineRule="auto"/>
        <w:ind w:left="1260" w:right="563" w:firstLine="420"/>
        <w:jc w:val="left"/>
        <w:rPr>
          <w:sz w:val="24"/>
        </w:rPr>
      </w:pPr>
      <w:r>
        <w:rPr>
          <w:sz w:val="24"/>
        </w:rPr>
        <w:t>各项保卫科支持管理服务具体方案设计（</w:t>
      </w:r>
      <w:r>
        <w:rPr>
          <w:spacing w:val="-1"/>
          <w:sz w:val="24"/>
        </w:rPr>
        <w:t>包括：应急预案、保安、车辆、院内道路</w:t>
      </w:r>
      <w:r>
        <w:rPr>
          <w:sz w:val="24"/>
        </w:rPr>
        <w:t>及公共秩序管理制度等</w:t>
      </w:r>
      <w:r>
        <w:rPr>
          <w:spacing w:val="-120"/>
          <w:sz w:val="24"/>
        </w:rPr>
        <w:t>）</w:t>
      </w:r>
      <w:r>
        <w:rPr>
          <w:sz w:val="24"/>
        </w:rPr>
        <w:t>。</w:t>
      </w:r>
    </w:p>
    <w:p>
      <w:pPr>
        <w:pStyle w:val="11"/>
        <w:numPr>
          <w:ilvl w:val="0"/>
          <w:numId w:val="1"/>
        </w:numPr>
        <w:tabs>
          <w:tab w:val="left" w:pos="2280"/>
        </w:tabs>
        <w:spacing w:before="9" w:after="0" w:line="240" w:lineRule="auto"/>
        <w:ind w:left="2280" w:right="0" w:hanging="600"/>
        <w:jc w:val="left"/>
        <w:rPr>
          <w:sz w:val="24"/>
        </w:rPr>
      </w:pPr>
      <w:r>
        <w:rPr>
          <w:sz w:val="24"/>
        </w:rPr>
        <w:t>管理人员的配置、管理人员的培训和发展计划（包括培训计划、方式、目标等</w:t>
      </w:r>
      <w:r>
        <w:rPr>
          <w:spacing w:val="-120"/>
          <w:sz w:val="24"/>
        </w:rPr>
        <w:t>）</w:t>
      </w:r>
      <w:r>
        <w:rPr>
          <w:sz w:val="24"/>
        </w:rPr>
        <w:t>。</w:t>
      </w:r>
    </w:p>
    <w:p>
      <w:pPr>
        <w:pStyle w:val="11"/>
        <w:numPr>
          <w:ilvl w:val="0"/>
          <w:numId w:val="1"/>
        </w:numPr>
        <w:tabs>
          <w:tab w:val="left" w:pos="2280"/>
        </w:tabs>
        <w:spacing w:before="146" w:after="0" w:line="240" w:lineRule="auto"/>
        <w:ind w:left="2280" w:right="0" w:hanging="600"/>
        <w:jc w:val="left"/>
        <w:rPr>
          <w:sz w:val="24"/>
        </w:rPr>
      </w:pPr>
      <w:r>
        <w:rPr>
          <w:sz w:val="24"/>
        </w:rPr>
        <w:t>管理质量和考核计划。</w:t>
      </w:r>
    </w:p>
    <w:p>
      <w:pPr>
        <w:pStyle w:val="11"/>
        <w:numPr>
          <w:ilvl w:val="0"/>
          <w:numId w:val="1"/>
        </w:numPr>
        <w:tabs>
          <w:tab w:val="left" w:pos="2280"/>
        </w:tabs>
        <w:spacing w:before="156" w:after="0" w:line="240" w:lineRule="auto"/>
        <w:ind w:left="2280" w:right="0" w:hanging="600"/>
        <w:jc w:val="left"/>
        <w:rPr>
          <w:sz w:val="24"/>
        </w:rPr>
      </w:pPr>
      <w:r>
        <w:rPr>
          <w:sz w:val="24"/>
        </w:rPr>
        <w:t>医院保安档案的建立与保存。</w:t>
      </w:r>
    </w:p>
    <w:p>
      <w:pPr>
        <w:pStyle w:val="11"/>
        <w:numPr>
          <w:ilvl w:val="0"/>
          <w:numId w:val="1"/>
        </w:numPr>
        <w:tabs>
          <w:tab w:val="left" w:pos="2280"/>
        </w:tabs>
        <w:spacing w:before="158" w:after="0" w:line="240" w:lineRule="auto"/>
        <w:ind w:left="2280" w:right="0" w:hanging="600"/>
        <w:jc w:val="left"/>
        <w:rPr>
          <w:sz w:val="24"/>
        </w:rPr>
      </w:pPr>
      <w:r>
        <w:rPr>
          <w:sz w:val="24"/>
        </w:rPr>
        <w:t>合同期内可提供给院方的文件资料清单。</w:t>
      </w:r>
    </w:p>
    <w:p>
      <w:pPr>
        <w:pStyle w:val="11"/>
        <w:numPr>
          <w:ilvl w:val="0"/>
          <w:numId w:val="1"/>
        </w:numPr>
        <w:tabs>
          <w:tab w:val="left" w:pos="2280"/>
        </w:tabs>
        <w:spacing w:before="154" w:after="0" w:line="240" w:lineRule="auto"/>
        <w:ind w:left="2280" w:right="0" w:hanging="600"/>
        <w:jc w:val="left"/>
        <w:rPr>
          <w:sz w:val="24"/>
        </w:rPr>
      </w:pPr>
      <w:r>
        <w:rPr>
          <w:sz w:val="24"/>
        </w:rPr>
        <w:t>合同终止时，保留给院方的资料清单。</w:t>
      </w:r>
    </w:p>
    <w:p>
      <w:pPr>
        <w:pStyle w:val="11"/>
        <w:numPr>
          <w:ilvl w:val="0"/>
          <w:numId w:val="1"/>
        </w:numPr>
        <w:tabs>
          <w:tab w:val="left" w:pos="2280"/>
        </w:tabs>
        <w:spacing w:before="158" w:after="0" w:line="240" w:lineRule="auto"/>
        <w:ind w:left="2280" w:right="0" w:hanging="600"/>
        <w:jc w:val="left"/>
        <w:rPr>
          <w:sz w:val="24"/>
        </w:rPr>
      </w:pPr>
      <w:r>
        <w:rPr>
          <w:sz w:val="24"/>
        </w:rPr>
        <w:t>合同终止时，各项服务的财产分割方式。</w:t>
      </w:r>
    </w:p>
    <w:p>
      <w:pPr>
        <w:pStyle w:val="11"/>
        <w:numPr>
          <w:ilvl w:val="0"/>
          <w:numId w:val="1"/>
        </w:numPr>
        <w:tabs>
          <w:tab w:val="left" w:pos="2285"/>
        </w:tabs>
        <w:spacing w:before="158" w:after="0" w:line="360" w:lineRule="auto"/>
        <w:ind w:left="1260" w:right="563" w:firstLine="420"/>
        <w:jc w:val="left"/>
        <w:rPr>
          <w:sz w:val="24"/>
        </w:rPr>
      </w:pPr>
      <w:r>
        <w:rPr>
          <w:sz w:val="24"/>
        </w:rPr>
        <w:t>服务公司提供的第一批设备清单（</w:t>
      </w:r>
      <w:r>
        <w:rPr>
          <w:spacing w:val="-1"/>
          <w:sz w:val="24"/>
        </w:rPr>
        <w:t>包括：制服、对讲装置及其他必备的安全护卫器</w:t>
      </w:r>
      <w:r>
        <w:rPr>
          <w:sz w:val="24"/>
        </w:rPr>
        <w:t>械、办公设备等</w:t>
      </w:r>
      <w:r>
        <w:rPr>
          <w:spacing w:val="-120"/>
          <w:sz w:val="24"/>
        </w:rPr>
        <w:t>）</w:t>
      </w:r>
      <w:r>
        <w:rPr>
          <w:sz w:val="24"/>
        </w:rPr>
        <w:t>。</w:t>
      </w:r>
    </w:p>
    <w:p>
      <w:pPr>
        <w:pStyle w:val="11"/>
        <w:numPr>
          <w:ilvl w:val="0"/>
          <w:numId w:val="1"/>
        </w:numPr>
        <w:tabs>
          <w:tab w:val="left" w:pos="2400"/>
        </w:tabs>
        <w:spacing w:before="6" w:after="0" w:line="240" w:lineRule="auto"/>
        <w:ind w:left="2400" w:right="0" w:hanging="720"/>
        <w:jc w:val="left"/>
        <w:rPr>
          <w:sz w:val="24"/>
        </w:rPr>
      </w:pPr>
      <w:r>
        <w:rPr>
          <w:sz w:val="24"/>
        </w:rPr>
        <w:t>服务质量和经费的管理。</w:t>
      </w:r>
    </w:p>
    <w:p>
      <w:pPr>
        <w:pStyle w:val="11"/>
        <w:numPr>
          <w:ilvl w:val="0"/>
          <w:numId w:val="1"/>
        </w:numPr>
        <w:tabs>
          <w:tab w:val="left" w:pos="2400"/>
        </w:tabs>
        <w:spacing w:before="156" w:after="0" w:line="240" w:lineRule="auto"/>
        <w:ind w:left="2400" w:right="0" w:hanging="720"/>
        <w:jc w:val="left"/>
        <w:rPr>
          <w:sz w:val="24"/>
        </w:rPr>
      </w:pPr>
      <w:r>
        <w:rPr>
          <w:sz w:val="24"/>
        </w:rPr>
        <w:t>管理建议。</w:t>
      </w:r>
    </w:p>
    <w:p>
      <w:pPr>
        <w:pStyle w:val="4"/>
        <w:spacing w:before="153"/>
      </w:pPr>
      <w:bookmarkStart w:id="5" w:name="5、投标人的现行营运状况要求"/>
      <w:bookmarkEnd w:id="5"/>
      <w:r>
        <w:t>5、投标人的现行营运状况要求</w:t>
      </w:r>
    </w:p>
    <w:p>
      <w:pPr>
        <w:pStyle w:val="11"/>
        <w:numPr>
          <w:ilvl w:val="0"/>
          <w:numId w:val="2"/>
        </w:numPr>
        <w:tabs>
          <w:tab w:val="left" w:pos="2280"/>
        </w:tabs>
        <w:spacing w:before="158" w:after="0" w:line="240" w:lineRule="auto"/>
        <w:ind w:left="2280" w:right="0" w:hanging="600"/>
        <w:jc w:val="left"/>
        <w:rPr>
          <w:sz w:val="22"/>
        </w:rPr>
      </w:pPr>
      <w:r>
        <w:rPr>
          <w:sz w:val="24"/>
        </w:rPr>
        <w:t>具有科学合理的组织构架，严格的管理细则和岗位责任制度。</w:t>
      </w:r>
    </w:p>
    <w:p>
      <w:pPr>
        <w:pStyle w:val="11"/>
        <w:numPr>
          <w:ilvl w:val="0"/>
          <w:numId w:val="2"/>
        </w:numPr>
        <w:tabs>
          <w:tab w:val="left" w:pos="2280"/>
        </w:tabs>
        <w:spacing w:before="158" w:after="0" w:line="360" w:lineRule="auto"/>
        <w:ind w:left="1680" w:right="1799" w:firstLine="0"/>
        <w:jc w:val="left"/>
        <w:rPr>
          <w:b/>
          <w:sz w:val="22"/>
        </w:rPr>
      </w:pPr>
      <w:r>
        <w:rPr>
          <w:spacing w:val="-3"/>
          <w:sz w:val="24"/>
        </w:rPr>
        <w:t>具有提供完善的后勤管理和保障服务的能力，并具有一定的企业规模。</w:t>
      </w:r>
      <w:r>
        <w:rPr>
          <w:b/>
          <w:spacing w:val="-3"/>
          <w:sz w:val="24"/>
        </w:rPr>
        <w:t>6、投标人的从业人员要求</w:t>
      </w:r>
    </w:p>
    <w:p>
      <w:pPr>
        <w:pStyle w:val="11"/>
        <w:numPr>
          <w:ilvl w:val="0"/>
          <w:numId w:val="3"/>
        </w:numPr>
        <w:tabs>
          <w:tab w:val="left" w:pos="2281"/>
        </w:tabs>
        <w:spacing w:before="7" w:after="0" w:line="364" w:lineRule="auto"/>
        <w:ind w:left="1260" w:right="301" w:firstLine="420"/>
        <w:jc w:val="left"/>
        <w:rPr>
          <w:sz w:val="24"/>
        </w:rPr>
      </w:pPr>
      <w:r>
        <w:rPr>
          <w:sz w:val="24"/>
        </w:rPr>
        <w:t>普通保安人员20-45</w:t>
      </w:r>
      <w:r>
        <w:rPr>
          <w:spacing w:val="-27"/>
          <w:sz w:val="24"/>
        </w:rPr>
        <w:t xml:space="preserve"> 岁男性</w:t>
      </w:r>
      <w:r>
        <w:rPr>
          <w:sz w:val="24"/>
        </w:rPr>
        <w:t>（</w:t>
      </w:r>
      <w:r>
        <w:rPr>
          <w:spacing w:val="-7"/>
          <w:sz w:val="24"/>
        </w:rPr>
        <w:t xml:space="preserve">特别优秀的人员可以放宽至 </w:t>
      </w:r>
      <w:r>
        <w:rPr>
          <w:sz w:val="24"/>
        </w:rPr>
        <w:t>50</w:t>
      </w:r>
      <w:r>
        <w:rPr>
          <w:spacing w:val="-31"/>
          <w:sz w:val="24"/>
        </w:rPr>
        <w:t xml:space="preserve"> 岁</w:t>
      </w:r>
      <w:r>
        <w:rPr>
          <w:spacing w:val="-50"/>
          <w:sz w:val="24"/>
        </w:rPr>
        <w:t>）</w:t>
      </w:r>
      <w:r>
        <w:rPr>
          <w:spacing w:val="-20"/>
          <w:sz w:val="24"/>
        </w:rPr>
        <w:t xml:space="preserve">，初中以上文化程度， </w:t>
      </w:r>
      <w:r>
        <w:rPr>
          <w:spacing w:val="-3"/>
          <w:sz w:val="24"/>
        </w:rPr>
        <w:t xml:space="preserve">身高 </w:t>
      </w:r>
      <w:r>
        <w:rPr>
          <w:sz w:val="24"/>
        </w:rPr>
        <w:t>170cm</w:t>
      </w:r>
      <w:r>
        <w:rPr>
          <w:spacing w:val="-5"/>
          <w:sz w:val="24"/>
        </w:rPr>
        <w:t xml:space="preserve"> 以上， 特勤队员（年龄必须</w:t>
      </w:r>
      <w:r>
        <w:rPr>
          <w:spacing w:val="-7"/>
          <w:sz w:val="24"/>
        </w:rPr>
        <w:t>45</w:t>
      </w:r>
      <w:r>
        <w:rPr>
          <w:spacing w:val="-5"/>
          <w:sz w:val="24"/>
        </w:rPr>
        <w:t>周岁以下）</w:t>
      </w:r>
      <w:r>
        <w:rPr>
          <w:spacing w:val="-6"/>
          <w:sz w:val="24"/>
        </w:rPr>
        <w:t>需有入伍服役经历</w:t>
      </w:r>
      <w:r>
        <w:rPr>
          <w:sz w:val="24"/>
        </w:rPr>
        <w:t>（特别优秀的人员除外</w:t>
      </w:r>
      <w:r>
        <w:rPr>
          <w:spacing w:val="-52"/>
          <w:sz w:val="24"/>
        </w:rPr>
        <w:t>）</w:t>
      </w:r>
      <w:r>
        <w:rPr>
          <w:spacing w:val="-18"/>
          <w:sz w:val="24"/>
        </w:rPr>
        <w:t>，并经保安公司培训取得保安上岗证。其他安保人员需经保安公司培训取得保安上岗证。身 体</w:t>
      </w:r>
      <w:r>
        <w:rPr>
          <w:spacing w:val="-8"/>
          <w:sz w:val="24"/>
        </w:rPr>
        <w:t>健康，无传染病及精神病等不能控制自身行为能力的疾病病史，体貌端正，无不良嗜好，无犯罪</w:t>
      </w:r>
      <w:r>
        <w:rPr>
          <w:spacing w:val="-5"/>
          <w:sz w:val="24"/>
        </w:rPr>
        <w:t>记录。</w:t>
      </w:r>
    </w:p>
    <w:p>
      <w:pPr>
        <w:pStyle w:val="11"/>
        <w:numPr>
          <w:ilvl w:val="0"/>
          <w:numId w:val="3"/>
        </w:numPr>
        <w:tabs>
          <w:tab w:val="left" w:pos="2274"/>
        </w:tabs>
        <w:spacing w:before="0" w:after="0" w:line="364" w:lineRule="auto"/>
        <w:ind w:left="1039" w:right="425" w:firstLine="655"/>
        <w:jc w:val="left"/>
        <w:rPr>
          <w:sz w:val="24"/>
        </w:rPr>
      </w:pPr>
      <w:r>
        <w:rPr>
          <w:spacing w:val="-11"/>
          <w:sz w:val="24"/>
        </w:rPr>
        <w:t>消控中心人员</w:t>
      </w:r>
      <w:r>
        <w:rPr>
          <w:spacing w:val="-8"/>
          <w:sz w:val="24"/>
        </w:rPr>
        <w:t>（</w:t>
      </w:r>
      <w:r>
        <w:rPr>
          <w:spacing w:val="-10"/>
          <w:sz w:val="24"/>
        </w:rPr>
        <w:t>高中以上文凭、年龄在</w:t>
      </w:r>
      <w:r>
        <w:rPr>
          <w:spacing w:val="-8"/>
          <w:sz w:val="24"/>
        </w:rPr>
        <w:t>45</w:t>
      </w:r>
      <w:r>
        <w:rPr>
          <w:spacing w:val="-10"/>
          <w:sz w:val="24"/>
        </w:rPr>
        <w:t>周岁以下，如特别优秀者年龄可适当放宽）</w:t>
      </w:r>
      <w:r>
        <w:rPr>
          <w:sz w:val="24"/>
        </w:rPr>
        <w:t>必</w:t>
      </w:r>
      <w:r>
        <w:rPr>
          <w:spacing w:val="-10"/>
          <w:sz w:val="24"/>
        </w:rPr>
        <w:t>须持国家构建筑消防员资合证。</w:t>
      </w:r>
    </w:p>
    <w:p>
      <w:pPr>
        <w:pStyle w:val="4"/>
      </w:pPr>
      <w:bookmarkStart w:id="6" w:name="7、对中标人的其他说明"/>
      <w:bookmarkEnd w:id="6"/>
      <w:r>
        <w:t>7、对中标人的其他说明</w:t>
      </w:r>
    </w:p>
    <w:p>
      <w:pPr>
        <w:spacing w:after="0"/>
        <w:sectPr>
          <w:pgSz w:w="11910" w:h="16840"/>
          <w:pgMar w:top="1380" w:right="420" w:bottom="280" w:left="0" w:header="720" w:footer="720" w:gutter="0"/>
          <w:cols w:space="720" w:num="1"/>
        </w:sectPr>
      </w:pPr>
    </w:p>
    <w:p>
      <w:pPr>
        <w:pStyle w:val="11"/>
        <w:numPr>
          <w:ilvl w:val="0"/>
          <w:numId w:val="4"/>
        </w:numPr>
        <w:tabs>
          <w:tab w:val="left" w:pos="2280"/>
        </w:tabs>
        <w:spacing w:before="41" w:after="0" w:line="240" w:lineRule="auto"/>
        <w:ind w:left="2280" w:right="0" w:hanging="581"/>
        <w:jc w:val="left"/>
        <w:rPr>
          <w:sz w:val="24"/>
        </w:rPr>
      </w:pPr>
      <w:r>
        <w:rPr>
          <w:sz w:val="24"/>
        </w:rPr>
        <w:t>医院将提供中标人保安休息及更衣用房，在服务期限内提供给中标人使用。</w:t>
      </w:r>
    </w:p>
    <w:p>
      <w:pPr>
        <w:pStyle w:val="11"/>
        <w:numPr>
          <w:ilvl w:val="0"/>
          <w:numId w:val="4"/>
        </w:numPr>
        <w:tabs>
          <w:tab w:val="left" w:pos="2285"/>
        </w:tabs>
        <w:spacing w:before="158" w:after="0" w:line="362" w:lineRule="auto"/>
        <w:ind w:left="1279" w:right="563" w:firstLine="420"/>
        <w:jc w:val="left"/>
        <w:rPr>
          <w:sz w:val="24"/>
        </w:rPr>
      </w:pPr>
      <w:r>
        <w:rPr>
          <w:sz w:val="24"/>
        </w:rPr>
        <w:t>中标人配置项目相关人员的装备（</w:t>
      </w:r>
      <w:r>
        <w:rPr>
          <w:spacing w:val="-1"/>
          <w:sz w:val="24"/>
        </w:rPr>
        <w:t>包括对讲装置、必备的安全护卫器械及设备维修</w:t>
      </w:r>
      <w:r>
        <w:rPr>
          <w:sz w:val="24"/>
        </w:rPr>
        <w:t>费用等）--安保装备配备表（含在总报价内</w:t>
      </w:r>
      <w:r>
        <w:rPr>
          <w:spacing w:val="-120"/>
          <w:sz w:val="24"/>
        </w:rPr>
        <w:t>）</w:t>
      </w:r>
      <w:r>
        <w:rPr>
          <w:sz w:val="24"/>
        </w:rPr>
        <w:t>。</w:t>
      </w:r>
    </w:p>
    <w:p>
      <w:pPr>
        <w:pStyle w:val="3"/>
        <w:rPr>
          <w:sz w:val="20"/>
        </w:rPr>
      </w:pPr>
    </w:p>
    <w:p>
      <w:pPr>
        <w:pStyle w:val="3"/>
        <w:spacing w:before="8"/>
        <w:rPr>
          <w:sz w:val="16"/>
        </w:rPr>
      </w:pPr>
    </w:p>
    <w:tbl>
      <w:tblPr>
        <w:tblStyle w:val="7"/>
        <w:tblW w:w="0" w:type="auto"/>
        <w:tblInd w:w="1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3969"/>
        <w:gridCol w:w="1701"/>
        <w:gridCol w:w="2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42" w:type="dxa"/>
          </w:tcPr>
          <w:p>
            <w:pPr>
              <w:pStyle w:val="12"/>
              <w:spacing w:before="3" w:line="299" w:lineRule="exact"/>
              <w:ind w:left="365" w:right="346"/>
              <w:jc w:val="center"/>
              <w:rPr>
                <w:sz w:val="24"/>
              </w:rPr>
            </w:pPr>
            <w:r>
              <w:rPr>
                <w:sz w:val="24"/>
              </w:rPr>
              <w:t>序号</w:t>
            </w:r>
          </w:p>
        </w:tc>
        <w:tc>
          <w:tcPr>
            <w:tcW w:w="3969" w:type="dxa"/>
          </w:tcPr>
          <w:p>
            <w:pPr>
              <w:pStyle w:val="12"/>
              <w:spacing w:before="3" w:line="299" w:lineRule="exact"/>
              <w:ind w:left="244" w:right="228"/>
              <w:jc w:val="center"/>
              <w:rPr>
                <w:sz w:val="24"/>
              </w:rPr>
            </w:pPr>
            <w:r>
              <w:rPr>
                <w:sz w:val="24"/>
              </w:rPr>
              <w:t>装备名称</w:t>
            </w:r>
          </w:p>
        </w:tc>
        <w:tc>
          <w:tcPr>
            <w:tcW w:w="1701" w:type="dxa"/>
          </w:tcPr>
          <w:p>
            <w:pPr>
              <w:pStyle w:val="12"/>
              <w:spacing w:before="3" w:line="299" w:lineRule="exact"/>
              <w:ind w:left="593" w:right="578"/>
              <w:jc w:val="center"/>
              <w:rPr>
                <w:sz w:val="24"/>
              </w:rPr>
            </w:pPr>
            <w:r>
              <w:rPr>
                <w:sz w:val="24"/>
              </w:rPr>
              <w:t>数量</w:t>
            </w:r>
          </w:p>
        </w:tc>
        <w:tc>
          <w:tcPr>
            <w:tcW w:w="2628" w:type="dxa"/>
          </w:tcPr>
          <w:p>
            <w:pPr>
              <w:pStyle w:val="12"/>
              <w:spacing w:before="3" w:line="299" w:lineRule="exact"/>
              <w:ind w:left="1057" w:right="1041"/>
              <w:jc w:val="center"/>
              <w:rPr>
                <w:sz w:val="24"/>
              </w:rPr>
            </w:pPr>
            <w:r>
              <w:rPr>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2" w:type="dxa"/>
          </w:tcPr>
          <w:p>
            <w:pPr>
              <w:pStyle w:val="12"/>
              <w:spacing w:line="291" w:lineRule="exact"/>
              <w:ind w:left="19"/>
              <w:jc w:val="center"/>
              <w:rPr>
                <w:sz w:val="24"/>
              </w:rPr>
            </w:pPr>
            <w:r>
              <w:rPr>
                <w:sz w:val="24"/>
              </w:rPr>
              <w:t>1</w:t>
            </w:r>
          </w:p>
        </w:tc>
        <w:tc>
          <w:tcPr>
            <w:tcW w:w="3969" w:type="dxa"/>
          </w:tcPr>
          <w:p>
            <w:pPr>
              <w:pStyle w:val="12"/>
              <w:spacing w:line="291" w:lineRule="exact"/>
              <w:ind w:left="331" w:right="228"/>
              <w:jc w:val="center"/>
              <w:rPr>
                <w:sz w:val="24"/>
              </w:rPr>
            </w:pPr>
            <w:r>
              <w:rPr>
                <w:sz w:val="24"/>
              </w:rPr>
              <w:t>对讲机（配备耳机、备用电板）</w:t>
            </w:r>
          </w:p>
        </w:tc>
        <w:tc>
          <w:tcPr>
            <w:tcW w:w="1701" w:type="dxa"/>
          </w:tcPr>
          <w:p>
            <w:pPr>
              <w:pStyle w:val="12"/>
              <w:spacing w:line="291" w:lineRule="exact"/>
              <w:ind w:left="593" w:right="578"/>
              <w:jc w:val="center"/>
              <w:rPr>
                <w:sz w:val="24"/>
              </w:rPr>
            </w:pPr>
            <w:r>
              <w:rPr>
                <w:sz w:val="24"/>
              </w:rPr>
              <w:t>10</w:t>
            </w:r>
          </w:p>
        </w:tc>
        <w:tc>
          <w:tcPr>
            <w:tcW w:w="2628" w:type="dxa"/>
          </w:tcPr>
          <w:p>
            <w:pPr>
              <w:pStyle w:val="12"/>
              <w:spacing w:line="291" w:lineRule="exact"/>
              <w:ind w:left="16"/>
              <w:jc w:val="center"/>
              <w:rPr>
                <w:sz w:val="24"/>
              </w:rPr>
            </w:pPr>
            <w:r>
              <w:rPr>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tcPr>
          <w:p>
            <w:pPr>
              <w:pStyle w:val="12"/>
              <w:spacing w:line="292" w:lineRule="exact"/>
              <w:ind w:left="19"/>
              <w:jc w:val="center"/>
              <w:rPr>
                <w:sz w:val="24"/>
              </w:rPr>
            </w:pPr>
            <w:r>
              <w:rPr>
                <w:sz w:val="24"/>
              </w:rPr>
              <w:t>2</w:t>
            </w:r>
          </w:p>
        </w:tc>
        <w:tc>
          <w:tcPr>
            <w:tcW w:w="3969" w:type="dxa"/>
          </w:tcPr>
          <w:p>
            <w:pPr>
              <w:pStyle w:val="12"/>
              <w:spacing w:line="292" w:lineRule="exact"/>
              <w:ind w:left="244" w:right="228"/>
              <w:jc w:val="center"/>
              <w:rPr>
                <w:sz w:val="24"/>
              </w:rPr>
            </w:pPr>
            <w:r>
              <w:rPr>
                <w:sz w:val="24"/>
              </w:rPr>
              <w:t>警用手电筒</w:t>
            </w:r>
          </w:p>
        </w:tc>
        <w:tc>
          <w:tcPr>
            <w:tcW w:w="1701" w:type="dxa"/>
          </w:tcPr>
          <w:p>
            <w:pPr>
              <w:pStyle w:val="12"/>
              <w:spacing w:line="292" w:lineRule="exact"/>
              <w:ind w:left="15"/>
              <w:jc w:val="center"/>
              <w:rPr>
                <w:sz w:val="24"/>
              </w:rPr>
            </w:pPr>
            <w:r>
              <w:rPr>
                <w:sz w:val="24"/>
              </w:rPr>
              <w:t>5</w:t>
            </w:r>
          </w:p>
        </w:tc>
        <w:tc>
          <w:tcPr>
            <w:tcW w:w="2628" w:type="dxa"/>
          </w:tcPr>
          <w:p>
            <w:pPr>
              <w:pStyle w:val="12"/>
              <w:spacing w:line="292" w:lineRule="exact"/>
              <w:ind w:left="16"/>
              <w:jc w:val="center"/>
              <w:rPr>
                <w:sz w:val="24"/>
              </w:rPr>
            </w:pPr>
            <w:r>
              <w:rPr>
                <w:sz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tcPr>
          <w:p>
            <w:pPr>
              <w:pStyle w:val="12"/>
              <w:spacing w:line="292" w:lineRule="exact"/>
              <w:ind w:left="19"/>
              <w:jc w:val="center"/>
              <w:rPr>
                <w:sz w:val="24"/>
              </w:rPr>
            </w:pPr>
            <w:r>
              <w:rPr>
                <w:sz w:val="24"/>
              </w:rPr>
              <w:t>3</w:t>
            </w:r>
          </w:p>
        </w:tc>
        <w:tc>
          <w:tcPr>
            <w:tcW w:w="3969" w:type="dxa"/>
          </w:tcPr>
          <w:p>
            <w:pPr>
              <w:pStyle w:val="12"/>
              <w:spacing w:line="292" w:lineRule="exact"/>
              <w:ind w:left="244" w:right="228"/>
              <w:jc w:val="center"/>
              <w:rPr>
                <w:sz w:val="24"/>
              </w:rPr>
            </w:pPr>
            <w:r>
              <w:rPr>
                <w:sz w:val="24"/>
              </w:rPr>
              <w:t>盾牌</w:t>
            </w:r>
          </w:p>
        </w:tc>
        <w:tc>
          <w:tcPr>
            <w:tcW w:w="1701" w:type="dxa"/>
          </w:tcPr>
          <w:p>
            <w:pPr>
              <w:pStyle w:val="12"/>
              <w:spacing w:line="292" w:lineRule="exact"/>
              <w:ind w:left="15"/>
              <w:jc w:val="center"/>
              <w:rPr>
                <w:sz w:val="24"/>
              </w:rPr>
            </w:pPr>
            <w:r>
              <w:rPr>
                <w:sz w:val="24"/>
              </w:rPr>
              <w:t>3</w:t>
            </w:r>
          </w:p>
        </w:tc>
        <w:tc>
          <w:tcPr>
            <w:tcW w:w="2628" w:type="dxa"/>
          </w:tcPr>
          <w:p>
            <w:pPr>
              <w:pStyle w:val="12"/>
              <w:spacing w:line="292" w:lineRule="exact"/>
              <w:ind w:left="16"/>
              <w:jc w:val="center"/>
              <w:rPr>
                <w:sz w:val="24"/>
              </w:rPr>
            </w:pPr>
            <w:r>
              <w:rPr>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2" w:type="dxa"/>
          </w:tcPr>
          <w:p>
            <w:pPr>
              <w:pStyle w:val="12"/>
              <w:spacing w:line="297" w:lineRule="exact"/>
              <w:ind w:left="19"/>
              <w:jc w:val="center"/>
              <w:rPr>
                <w:sz w:val="24"/>
              </w:rPr>
            </w:pPr>
            <w:r>
              <w:rPr>
                <w:sz w:val="24"/>
              </w:rPr>
              <w:t>4</w:t>
            </w:r>
          </w:p>
        </w:tc>
        <w:tc>
          <w:tcPr>
            <w:tcW w:w="3969" w:type="dxa"/>
          </w:tcPr>
          <w:p>
            <w:pPr>
              <w:pStyle w:val="12"/>
              <w:spacing w:line="297" w:lineRule="exact"/>
              <w:ind w:left="244" w:right="228"/>
              <w:jc w:val="center"/>
              <w:rPr>
                <w:sz w:val="24"/>
              </w:rPr>
            </w:pPr>
            <w:r>
              <w:rPr>
                <w:sz w:val="24"/>
              </w:rPr>
              <w:t>钢叉</w:t>
            </w:r>
          </w:p>
        </w:tc>
        <w:tc>
          <w:tcPr>
            <w:tcW w:w="1701" w:type="dxa"/>
          </w:tcPr>
          <w:p>
            <w:pPr>
              <w:pStyle w:val="12"/>
              <w:spacing w:line="297" w:lineRule="exact"/>
              <w:ind w:left="15"/>
              <w:jc w:val="center"/>
              <w:rPr>
                <w:sz w:val="24"/>
              </w:rPr>
            </w:pPr>
            <w:r>
              <w:rPr>
                <w:sz w:val="24"/>
              </w:rPr>
              <w:t>3</w:t>
            </w:r>
          </w:p>
        </w:tc>
        <w:tc>
          <w:tcPr>
            <w:tcW w:w="2628" w:type="dxa"/>
          </w:tcPr>
          <w:p>
            <w:pPr>
              <w:pStyle w:val="12"/>
              <w:spacing w:line="297" w:lineRule="exact"/>
              <w:ind w:left="16"/>
              <w:jc w:val="center"/>
              <w:rPr>
                <w:sz w:val="24"/>
              </w:rPr>
            </w:pPr>
            <w:r>
              <w:rPr>
                <w:sz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12"/>
              <w:spacing w:line="292" w:lineRule="exact"/>
              <w:ind w:left="19"/>
              <w:jc w:val="center"/>
              <w:rPr>
                <w:sz w:val="24"/>
              </w:rPr>
            </w:pPr>
            <w:r>
              <w:rPr>
                <w:sz w:val="24"/>
              </w:rPr>
              <w:t>5</w:t>
            </w:r>
          </w:p>
        </w:tc>
        <w:tc>
          <w:tcPr>
            <w:tcW w:w="3969" w:type="dxa"/>
          </w:tcPr>
          <w:p>
            <w:pPr>
              <w:pStyle w:val="12"/>
              <w:spacing w:line="292" w:lineRule="exact"/>
              <w:ind w:left="244" w:right="228"/>
              <w:jc w:val="center"/>
              <w:rPr>
                <w:sz w:val="24"/>
              </w:rPr>
            </w:pPr>
            <w:r>
              <w:rPr>
                <w:sz w:val="24"/>
              </w:rPr>
              <w:t>防刺服</w:t>
            </w:r>
          </w:p>
        </w:tc>
        <w:tc>
          <w:tcPr>
            <w:tcW w:w="1701" w:type="dxa"/>
          </w:tcPr>
          <w:p>
            <w:pPr>
              <w:pStyle w:val="12"/>
              <w:spacing w:line="292" w:lineRule="exact"/>
              <w:ind w:left="15"/>
              <w:jc w:val="center"/>
              <w:rPr>
                <w:sz w:val="24"/>
              </w:rPr>
            </w:pPr>
            <w:r>
              <w:rPr>
                <w:sz w:val="24"/>
              </w:rPr>
              <w:t>3</w:t>
            </w:r>
          </w:p>
        </w:tc>
        <w:tc>
          <w:tcPr>
            <w:tcW w:w="2628" w:type="dxa"/>
          </w:tcPr>
          <w:p>
            <w:pPr>
              <w:pStyle w:val="12"/>
              <w:spacing w:line="292" w:lineRule="exact"/>
              <w:ind w:left="16"/>
              <w:jc w:val="center"/>
              <w:rPr>
                <w:sz w:val="24"/>
              </w:rPr>
            </w:pP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42" w:type="dxa"/>
          </w:tcPr>
          <w:p>
            <w:pPr>
              <w:pStyle w:val="12"/>
              <w:spacing w:before="49"/>
              <w:ind w:left="19"/>
              <w:jc w:val="center"/>
              <w:rPr>
                <w:sz w:val="24"/>
              </w:rPr>
            </w:pPr>
            <w:r>
              <w:rPr>
                <w:sz w:val="24"/>
              </w:rPr>
              <w:t>6</w:t>
            </w:r>
          </w:p>
        </w:tc>
        <w:tc>
          <w:tcPr>
            <w:tcW w:w="3969" w:type="dxa"/>
          </w:tcPr>
          <w:p>
            <w:pPr>
              <w:pStyle w:val="12"/>
              <w:spacing w:before="49"/>
              <w:ind w:left="244" w:right="228"/>
              <w:jc w:val="center"/>
              <w:rPr>
                <w:sz w:val="24"/>
              </w:rPr>
            </w:pPr>
            <w:r>
              <w:rPr>
                <w:sz w:val="24"/>
              </w:rPr>
              <w:t>防刺手套</w:t>
            </w:r>
          </w:p>
        </w:tc>
        <w:tc>
          <w:tcPr>
            <w:tcW w:w="1701" w:type="dxa"/>
          </w:tcPr>
          <w:p>
            <w:pPr>
              <w:pStyle w:val="12"/>
              <w:spacing w:before="49"/>
              <w:ind w:left="15"/>
              <w:jc w:val="center"/>
              <w:rPr>
                <w:sz w:val="24"/>
              </w:rPr>
            </w:pPr>
            <w:r>
              <w:rPr>
                <w:sz w:val="24"/>
              </w:rPr>
              <w:t>3</w:t>
            </w:r>
          </w:p>
        </w:tc>
        <w:tc>
          <w:tcPr>
            <w:tcW w:w="2628" w:type="dxa"/>
          </w:tcPr>
          <w:p>
            <w:pPr>
              <w:pStyle w:val="12"/>
              <w:spacing w:before="49"/>
              <w:ind w:left="16"/>
              <w:jc w:val="center"/>
              <w:rPr>
                <w:sz w:val="24"/>
              </w:rPr>
            </w:pPr>
            <w:r>
              <w:rPr>
                <w:sz w:val="24"/>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12"/>
              <w:spacing w:line="292" w:lineRule="exact"/>
              <w:ind w:left="19"/>
              <w:jc w:val="center"/>
              <w:rPr>
                <w:sz w:val="24"/>
              </w:rPr>
            </w:pPr>
            <w:r>
              <w:rPr>
                <w:sz w:val="24"/>
              </w:rPr>
              <w:t>7</w:t>
            </w:r>
          </w:p>
        </w:tc>
        <w:tc>
          <w:tcPr>
            <w:tcW w:w="3969" w:type="dxa"/>
          </w:tcPr>
          <w:p>
            <w:pPr>
              <w:pStyle w:val="12"/>
              <w:spacing w:line="292" w:lineRule="exact"/>
              <w:ind w:left="244" w:right="228"/>
              <w:jc w:val="center"/>
              <w:rPr>
                <w:sz w:val="24"/>
              </w:rPr>
            </w:pPr>
            <w:r>
              <w:rPr>
                <w:sz w:val="24"/>
              </w:rPr>
              <w:t>钢盔</w:t>
            </w:r>
          </w:p>
        </w:tc>
        <w:tc>
          <w:tcPr>
            <w:tcW w:w="1701" w:type="dxa"/>
          </w:tcPr>
          <w:p>
            <w:pPr>
              <w:pStyle w:val="12"/>
              <w:spacing w:line="292" w:lineRule="exact"/>
              <w:ind w:left="15"/>
              <w:jc w:val="center"/>
              <w:rPr>
                <w:sz w:val="24"/>
              </w:rPr>
            </w:pPr>
            <w:r>
              <w:rPr>
                <w:sz w:val="24"/>
              </w:rPr>
              <w:t>6</w:t>
            </w:r>
          </w:p>
        </w:tc>
        <w:tc>
          <w:tcPr>
            <w:tcW w:w="2628" w:type="dxa"/>
          </w:tcPr>
          <w:p>
            <w:pPr>
              <w:pStyle w:val="12"/>
              <w:spacing w:line="292" w:lineRule="exact"/>
              <w:ind w:left="16"/>
              <w:jc w:val="center"/>
              <w:rPr>
                <w:sz w:val="24"/>
              </w:rPr>
            </w:pPr>
            <w:r>
              <w:rPr>
                <w:sz w:val="24"/>
              </w:rPr>
              <w:t>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tcPr>
          <w:p>
            <w:pPr>
              <w:pStyle w:val="12"/>
              <w:spacing w:line="292" w:lineRule="exact"/>
              <w:ind w:left="19"/>
              <w:jc w:val="center"/>
              <w:rPr>
                <w:sz w:val="24"/>
              </w:rPr>
            </w:pPr>
            <w:r>
              <w:rPr>
                <w:sz w:val="24"/>
              </w:rPr>
              <w:t>8</w:t>
            </w:r>
          </w:p>
        </w:tc>
        <w:tc>
          <w:tcPr>
            <w:tcW w:w="3969" w:type="dxa"/>
          </w:tcPr>
          <w:p>
            <w:pPr>
              <w:pStyle w:val="12"/>
              <w:spacing w:line="292" w:lineRule="exact"/>
              <w:ind w:left="244" w:right="228"/>
              <w:jc w:val="center"/>
              <w:rPr>
                <w:sz w:val="24"/>
              </w:rPr>
            </w:pPr>
            <w:r>
              <w:rPr>
                <w:sz w:val="24"/>
              </w:rPr>
              <w:t>橡胶棒</w:t>
            </w:r>
          </w:p>
        </w:tc>
        <w:tc>
          <w:tcPr>
            <w:tcW w:w="1701" w:type="dxa"/>
          </w:tcPr>
          <w:p>
            <w:pPr>
              <w:pStyle w:val="12"/>
              <w:spacing w:line="292" w:lineRule="exact"/>
              <w:ind w:left="15"/>
              <w:jc w:val="center"/>
              <w:rPr>
                <w:sz w:val="24"/>
              </w:rPr>
            </w:pPr>
            <w:r>
              <w:rPr>
                <w:sz w:val="24"/>
              </w:rPr>
              <w:t>6</w:t>
            </w:r>
          </w:p>
        </w:tc>
        <w:tc>
          <w:tcPr>
            <w:tcW w:w="2628" w:type="dxa"/>
          </w:tcPr>
          <w:p>
            <w:pPr>
              <w:pStyle w:val="12"/>
              <w:spacing w:line="292" w:lineRule="exact"/>
              <w:ind w:left="16"/>
              <w:jc w:val="center"/>
              <w:rPr>
                <w:sz w:val="24"/>
              </w:rPr>
            </w:pPr>
            <w:r>
              <w:rPr>
                <w:sz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2" w:type="dxa"/>
          </w:tcPr>
          <w:p>
            <w:pPr>
              <w:pStyle w:val="12"/>
              <w:spacing w:line="292" w:lineRule="exact"/>
              <w:ind w:left="19"/>
              <w:jc w:val="center"/>
              <w:rPr>
                <w:sz w:val="24"/>
              </w:rPr>
            </w:pPr>
            <w:r>
              <w:rPr>
                <w:sz w:val="24"/>
              </w:rPr>
              <w:t>9</w:t>
            </w:r>
          </w:p>
        </w:tc>
        <w:tc>
          <w:tcPr>
            <w:tcW w:w="3969" w:type="dxa"/>
          </w:tcPr>
          <w:p>
            <w:pPr>
              <w:pStyle w:val="12"/>
              <w:spacing w:line="292" w:lineRule="exact"/>
              <w:ind w:left="244" w:right="228"/>
              <w:jc w:val="center"/>
              <w:rPr>
                <w:sz w:val="24"/>
              </w:rPr>
            </w:pPr>
            <w:r>
              <w:rPr>
                <w:sz w:val="24"/>
              </w:rPr>
              <w:t>七件套武装腰带</w:t>
            </w:r>
          </w:p>
        </w:tc>
        <w:tc>
          <w:tcPr>
            <w:tcW w:w="1701" w:type="dxa"/>
          </w:tcPr>
          <w:p>
            <w:pPr>
              <w:pStyle w:val="12"/>
              <w:spacing w:line="292" w:lineRule="exact"/>
              <w:ind w:left="593" w:right="578"/>
              <w:jc w:val="center"/>
              <w:rPr>
                <w:sz w:val="24"/>
              </w:rPr>
            </w:pPr>
            <w:r>
              <w:rPr>
                <w:sz w:val="24"/>
              </w:rPr>
              <w:t>40</w:t>
            </w:r>
          </w:p>
        </w:tc>
        <w:tc>
          <w:tcPr>
            <w:tcW w:w="2628" w:type="dxa"/>
          </w:tcPr>
          <w:p>
            <w:pPr>
              <w:pStyle w:val="12"/>
              <w:spacing w:line="292" w:lineRule="exact"/>
              <w:ind w:left="16"/>
              <w:jc w:val="center"/>
              <w:rPr>
                <w:sz w:val="24"/>
              </w:rPr>
            </w:pP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12"/>
              <w:spacing w:line="291" w:lineRule="exact"/>
              <w:ind w:left="365" w:right="346"/>
              <w:jc w:val="center"/>
              <w:rPr>
                <w:sz w:val="24"/>
              </w:rPr>
            </w:pPr>
            <w:r>
              <w:rPr>
                <w:sz w:val="24"/>
              </w:rPr>
              <w:t>10</w:t>
            </w:r>
          </w:p>
        </w:tc>
        <w:tc>
          <w:tcPr>
            <w:tcW w:w="3969" w:type="dxa"/>
          </w:tcPr>
          <w:p>
            <w:pPr>
              <w:pStyle w:val="12"/>
              <w:spacing w:line="291" w:lineRule="exact"/>
              <w:ind w:left="244" w:right="228"/>
              <w:jc w:val="center"/>
              <w:rPr>
                <w:sz w:val="24"/>
              </w:rPr>
            </w:pPr>
            <w:r>
              <w:rPr>
                <w:sz w:val="24"/>
              </w:rPr>
              <w:t>电警棍</w:t>
            </w:r>
          </w:p>
        </w:tc>
        <w:tc>
          <w:tcPr>
            <w:tcW w:w="1701" w:type="dxa"/>
          </w:tcPr>
          <w:p>
            <w:pPr>
              <w:pStyle w:val="12"/>
              <w:spacing w:line="291" w:lineRule="exact"/>
              <w:ind w:left="15"/>
              <w:jc w:val="center"/>
              <w:rPr>
                <w:sz w:val="24"/>
              </w:rPr>
            </w:pPr>
            <w:r>
              <w:rPr>
                <w:sz w:val="24"/>
              </w:rPr>
              <w:t>6</w:t>
            </w:r>
          </w:p>
        </w:tc>
        <w:tc>
          <w:tcPr>
            <w:tcW w:w="2628" w:type="dxa"/>
          </w:tcPr>
          <w:p>
            <w:pPr>
              <w:pStyle w:val="12"/>
              <w:spacing w:line="291" w:lineRule="exact"/>
              <w:ind w:left="16"/>
              <w:jc w:val="center"/>
              <w:rPr>
                <w:sz w:val="24"/>
              </w:rPr>
            </w:pPr>
            <w:r>
              <w:rPr>
                <w:sz w:val="24"/>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12"/>
              <w:spacing w:line="292" w:lineRule="exact"/>
              <w:ind w:left="365" w:right="346"/>
              <w:jc w:val="center"/>
              <w:rPr>
                <w:sz w:val="24"/>
              </w:rPr>
            </w:pPr>
            <w:r>
              <w:rPr>
                <w:sz w:val="24"/>
              </w:rPr>
              <w:t>11</w:t>
            </w:r>
          </w:p>
        </w:tc>
        <w:tc>
          <w:tcPr>
            <w:tcW w:w="3969" w:type="dxa"/>
          </w:tcPr>
          <w:p>
            <w:pPr>
              <w:pStyle w:val="12"/>
              <w:spacing w:line="292" w:lineRule="exact"/>
              <w:ind w:left="244" w:right="228"/>
              <w:jc w:val="center"/>
              <w:rPr>
                <w:sz w:val="24"/>
              </w:rPr>
            </w:pPr>
            <w:r>
              <w:rPr>
                <w:sz w:val="24"/>
              </w:rPr>
              <w:t>警用雨衣</w:t>
            </w:r>
          </w:p>
        </w:tc>
        <w:tc>
          <w:tcPr>
            <w:tcW w:w="1701" w:type="dxa"/>
          </w:tcPr>
          <w:p>
            <w:pPr>
              <w:pStyle w:val="12"/>
              <w:spacing w:line="292" w:lineRule="exact"/>
              <w:ind w:left="15"/>
              <w:jc w:val="center"/>
              <w:rPr>
                <w:sz w:val="24"/>
              </w:rPr>
            </w:pPr>
            <w:r>
              <w:rPr>
                <w:sz w:val="24"/>
              </w:rPr>
              <w:t>6</w:t>
            </w:r>
          </w:p>
        </w:tc>
        <w:tc>
          <w:tcPr>
            <w:tcW w:w="2628" w:type="dxa"/>
          </w:tcPr>
          <w:p>
            <w:pPr>
              <w:pStyle w:val="12"/>
              <w:spacing w:line="292" w:lineRule="exact"/>
              <w:ind w:left="16"/>
              <w:jc w:val="center"/>
              <w:rPr>
                <w:sz w:val="24"/>
              </w:rPr>
            </w:pPr>
            <w:r>
              <w:rPr>
                <w:sz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2" w:type="dxa"/>
          </w:tcPr>
          <w:p>
            <w:pPr>
              <w:pStyle w:val="12"/>
              <w:spacing w:line="291" w:lineRule="exact"/>
              <w:ind w:left="365" w:right="346"/>
              <w:jc w:val="center"/>
              <w:rPr>
                <w:sz w:val="24"/>
              </w:rPr>
            </w:pPr>
            <w:r>
              <w:rPr>
                <w:sz w:val="24"/>
              </w:rPr>
              <w:t>12</w:t>
            </w:r>
          </w:p>
        </w:tc>
        <w:tc>
          <w:tcPr>
            <w:tcW w:w="3969" w:type="dxa"/>
          </w:tcPr>
          <w:p>
            <w:pPr>
              <w:pStyle w:val="12"/>
              <w:spacing w:line="291" w:lineRule="exact"/>
              <w:ind w:left="244" w:right="228"/>
              <w:jc w:val="center"/>
              <w:rPr>
                <w:sz w:val="24"/>
              </w:rPr>
            </w:pPr>
            <w:r>
              <w:rPr>
                <w:sz w:val="24"/>
              </w:rPr>
              <w:t>警用雨鞋</w:t>
            </w:r>
          </w:p>
        </w:tc>
        <w:tc>
          <w:tcPr>
            <w:tcW w:w="1701" w:type="dxa"/>
          </w:tcPr>
          <w:p>
            <w:pPr>
              <w:pStyle w:val="12"/>
              <w:spacing w:line="291" w:lineRule="exact"/>
              <w:ind w:left="15"/>
              <w:jc w:val="center"/>
              <w:rPr>
                <w:sz w:val="24"/>
              </w:rPr>
            </w:pPr>
            <w:r>
              <w:rPr>
                <w:sz w:val="24"/>
              </w:rPr>
              <w:t>6</w:t>
            </w:r>
          </w:p>
        </w:tc>
        <w:tc>
          <w:tcPr>
            <w:tcW w:w="2628" w:type="dxa"/>
          </w:tcPr>
          <w:p>
            <w:pPr>
              <w:pStyle w:val="12"/>
              <w:spacing w:line="291" w:lineRule="exact"/>
              <w:ind w:left="16"/>
              <w:jc w:val="center"/>
              <w:rPr>
                <w:sz w:val="24"/>
              </w:rPr>
            </w:pPr>
            <w:r>
              <w:rPr>
                <w:sz w:val="24"/>
              </w:rPr>
              <w:t>双</w:t>
            </w:r>
          </w:p>
        </w:tc>
      </w:tr>
    </w:tbl>
    <w:p>
      <w:pPr>
        <w:pStyle w:val="3"/>
        <w:spacing w:before="79"/>
        <w:ind w:left="1519"/>
      </w:pPr>
      <w:r>
        <w:t>以上安保装备的添置更新归中标单位。</w:t>
      </w:r>
    </w:p>
    <w:p>
      <w:pPr>
        <w:pStyle w:val="11"/>
        <w:numPr>
          <w:ilvl w:val="0"/>
          <w:numId w:val="4"/>
        </w:numPr>
        <w:tabs>
          <w:tab w:val="left" w:pos="2280"/>
        </w:tabs>
        <w:spacing w:before="96" w:after="0" w:line="240" w:lineRule="auto"/>
        <w:ind w:left="2280" w:right="0" w:hanging="581"/>
        <w:jc w:val="left"/>
        <w:rPr>
          <w:sz w:val="24"/>
        </w:rPr>
      </w:pPr>
      <w:r>
        <w:rPr>
          <w:sz w:val="24"/>
        </w:rPr>
        <w:t>中标人自行负责桌椅等办公家私和员工更衣柜。</w:t>
      </w:r>
    </w:p>
    <w:p>
      <w:pPr>
        <w:pStyle w:val="11"/>
        <w:numPr>
          <w:ilvl w:val="0"/>
          <w:numId w:val="4"/>
        </w:numPr>
        <w:tabs>
          <w:tab w:val="left" w:pos="2280"/>
        </w:tabs>
        <w:spacing w:before="98" w:after="0" w:line="240" w:lineRule="auto"/>
        <w:ind w:left="2280" w:right="0" w:hanging="581"/>
        <w:jc w:val="left"/>
        <w:rPr>
          <w:sz w:val="24"/>
        </w:rPr>
      </w:pPr>
      <w:r>
        <w:rPr>
          <w:sz w:val="24"/>
        </w:rPr>
        <w:t>中标人的各岗位员工要统一服装，并由中标人负责其员工工服配备和洗涤。</w:t>
      </w:r>
    </w:p>
    <w:p>
      <w:pPr>
        <w:pStyle w:val="11"/>
        <w:numPr>
          <w:ilvl w:val="0"/>
          <w:numId w:val="4"/>
        </w:numPr>
        <w:tabs>
          <w:tab w:val="left" w:pos="2280"/>
        </w:tabs>
        <w:spacing w:before="96" w:after="0" w:line="316" w:lineRule="auto"/>
        <w:ind w:left="1279" w:right="508" w:firstLine="420"/>
        <w:jc w:val="left"/>
        <w:rPr>
          <w:sz w:val="24"/>
        </w:rPr>
      </w:pPr>
      <w:r>
        <w:rPr>
          <w:spacing w:val="-3"/>
          <w:sz w:val="24"/>
        </w:rPr>
        <w:t>中标人有岗前培训机构，</w:t>
      </w:r>
      <w:r>
        <w:rPr>
          <w:sz w:val="24"/>
        </w:rPr>
        <w:t>100%</w:t>
      </w:r>
      <w:r>
        <w:rPr>
          <w:spacing w:val="-1"/>
          <w:sz w:val="24"/>
        </w:rPr>
        <w:t>经过岗前培训合格才上岗</w:t>
      </w:r>
      <w:r>
        <w:rPr>
          <w:spacing w:val="-140"/>
          <w:sz w:val="24"/>
        </w:rPr>
        <w:t>，</w:t>
      </w:r>
      <w:r>
        <w:rPr>
          <w:sz w:val="24"/>
        </w:rPr>
        <w:t>（</w:t>
      </w:r>
      <w:r>
        <w:rPr>
          <w:spacing w:val="-3"/>
          <w:sz w:val="24"/>
        </w:rPr>
        <w:t>其中消控人员须有国家认可的资格证）</w:t>
      </w:r>
    </w:p>
    <w:p>
      <w:pPr>
        <w:pStyle w:val="11"/>
        <w:numPr>
          <w:ilvl w:val="0"/>
          <w:numId w:val="4"/>
        </w:numPr>
        <w:tabs>
          <w:tab w:val="left" w:pos="2280"/>
        </w:tabs>
        <w:spacing w:before="2" w:after="0" w:line="240" w:lineRule="auto"/>
        <w:ind w:left="2280" w:right="0" w:hanging="581"/>
        <w:jc w:val="left"/>
        <w:rPr>
          <w:sz w:val="24"/>
        </w:rPr>
      </w:pPr>
      <w:r>
        <w:rPr>
          <w:sz w:val="24"/>
        </w:rPr>
        <w:t>未经医院同意，中标人不得在合同期限内将本项目的管理权转包或发包。</w:t>
      </w:r>
    </w:p>
    <w:p>
      <w:pPr>
        <w:pStyle w:val="11"/>
        <w:numPr>
          <w:ilvl w:val="0"/>
          <w:numId w:val="4"/>
        </w:numPr>
        <w:tabs>
          <w:tab w:val="left" w:pos="2285"/>
        </w:tabs>
        <w:spacing w:before="88" w:after="0" w:line="316" w:lineRule="auto"/>
        <w:ind w:left="1279" w:right="563" w:firstLine="420"/>
        <w:jc w:val="left"/>
        <w:rPr>
          <w:sz w:val="24"/>
        </w:rPr>
      </w:pPr>
      <w:r>
        <w:rPr>
          <w:spacing w:val="-1"/>
          <w:sz w:val="24"/>
        </w:rPr>
        <w:t>根据医院发展特点，在不同阶段对安保人员数量有不同要求，应根据医院实际情况</w:t>
      </w:r>
      <w:r>
        <w:rPr>
          <w:sz w:val="24"/>
        </w:rPr>
        <w:t>增减人员，中标人须无条件满足医院要求，费用根据实际使用人数进行结算。</w:t>
      </w:r>
    </w:p>
    <w:p>
      <w:pPr>
        <w:pStyle w:val="11"/>
        <w:numPr>
          <w:ilvl w:val="0"/>
          <w:numId w:val="4"/>
        </w:numPr>
        <w:tabs>
          <w:tab w:val="left" w:pos="2285"/>
        </w:tabs>
        <w:spacing w:before="0" w:after="0" w:line="314" w:lineRule="auto"/>
        <w:ind w:left="1279" w:right="563" w:firstLine="420"/>
        <w:jc w:val="left"/>
        <w:rPr>
          <w:sz w:val="24"/>
        </w:rPr>
      </w:pPr>
      <w:r>
        <w:rPr>
          <w:spacing w:val="-1"/>
          <w:sz w:val="24"/>
        </w:rPr>
        <w:t>医院将对中标人推荐的保安队长、各班长人选组织面试，面试合格后方能上岗。若</w:t>
      </w:r>
      <w:r>
        <w:rPr>
          <w:sz w:val="24"/>
        </w:rPr>
        <w:t>不能通过医院面试，中标人须承诺另行推荐，直至医院方认为合格为止。</w:t>
      </w:r>
    </w:p>
    <w:p>
      <w:pPr>
        <w:pStyle w:val="11"/>
        <w:numPr>
          <w:ilvl w:val="0"/>
          <w:numId w:val="4"/>
        </w:numPr>
        <w:tabs>
          <w:tab w:val="left" w:pos="2285"/>
        </w:tabs>
        <w:spacing w:before="3" w:after="0" w:line="314" w:lineRule="auto"/>
        <w:ind w:left="1279" w:right="563" w:firstLine="420"/>
        <w:jc w:val="left"/>
        <w:rPr>
          <w:sz w:val="24"/>
        </w:rPr>
      </w:pPr>
      <w:r>
        <w:rPr>
          <w:spacing w:val="-1"/>
          <w:sz w:val="24"/>
        </w:rPr>
        <w:t>中标人须严格按照标准化的操作程序、完善的培训体系和质量控制体系完成本项目</w:t>
      </w:r>
      <w:r>
        <w:rPr>
          <w:sz w:val="24"/>
        </w:rPr>
        <w:t>服务，以保证整个服务系统安全、高效、有序和有计划地运转。</w:t>
      </w:r>
    </w:p>
    <w:p>
      <w:pPr>
        <w:pStyle w:val="11"/>
        <w:numPr>
          <w:ilvl w:val="0"/>
          <w:numId w:val="4"/>
        </w:numPr>
        <w:tabs>
          <w:tab w:val="left" w:pos="2400"/>
        </w:tabs>
        <w:spacing w:before="3" w:after="0" w:line="240" w:lineRule="auto"/>
        <w:ind w:left="2400" w:right="0" w:hanging="701"/>
        <w:jc w:val="left"/>
        <w:rPr>
          <w:sz w:val="24"/>
        </w:rPr>
      </w:pPr>
      <w:r>
        <w:rPr>
          <w:sz w:val="24"/>
        </w:rPr>
        <w:t>中标人有责任配合医院接受上级领导部门的监督、检查，提供必需的资料。</w:t>
      </w:r>
    </w:p>
    <w:p>
      <w:pPr>
        <w:pStyle w:val="11"/>
        <w:numPr>
          <w:ilvl w:val="0"/>
          <w:numId w:val="4"/>
        </w:numPr>
        <w:tabs>
          <w:tab w:val="left" w:pos="2400"/>
        </w:tabs>
        <w:spacing w:before="95" w:after="0" w:line="314" w:lineRule="auto"/>
        <w:ind w:left="1279" w:right="469" w:firstLine="420"/>
        <w:jc w:val="both"/>
        <w:rPr>
          <w:sz w:val="24"/>
        </w:rPr>
      </w:pPr>
      <w:r>
        <w:rPr>
          <w:sz w:val="24"/>
        </w:rPr>
        <w:t>中标人须严格按照国家和临安区政府规定给缴纳社会保障资金（</w:t>
      </w:r>
      <w:r>
        <w:rPr>
          <w:spacing w:val="-6"/>
          <w:sz w:val="24"/>
        </w:rPr>
        <w:t>包括养老、医疗、</w:t>
      </w:r>
      <w:r>
        <w:rPr>
          <w:sz w:val="24"/>
        </w:rPr>
        <w:t>工伤、生育险、失业保险等</w:t>
      </w:r>
      <w:r>
        <w:rPr>
          <w:spacing w:val="-120"/>
          <w:sz w:val="24"/>
        </w:rPr>
        <w:t>）。</w:t>
      </w:r>
      <w:r>
        <w:rPr>
          <w:sz w:val="24"/>
        </w:rPr>
        <w:t>（所需费用要求包含在总报价中</w:t>
      </w:r>
      <w:r>
        <w:rPr>
          <w:spacing w:val="-120"/>
          <w:sz w:val="24"/>
        </w:rPr>
        <w:t>）</w:t>
      </w:r>
      <w:r>
        <w:rPr>
          <w:sz w:val="24"/>
        </w:rPr>
        <w:t>。</w:t>
      </w:r>
    </w:p>
    <w:p>
      <w:pPr>
        <w:pStyle w:val="11"/>
        <w:numPr>
          <w:ilvl w:val="0"/>
          <w:numId w:val="4"/>
        </w:numPr>
        <w:tabs>
          <w:tab w:val="left" w:pos="2400"/>
        </w:tabs>
        <w:spacing w:before="6" w:after="0" w:line="316" w:lineRule="auto"/>
        <w:ind w:left="1279" w:right="496" w:firstLine="420"/>
        <w:jc w:val="both"/>
        <w:rPr>
          <w:sz w:val="24"/>
        </w:rPr>
      </w:pPr>
      <w:r>
        <w:rPr>
          <w:spacing w:val="-3"/>
          <w:sz w:val="24"/>
        </w:rPr>
        <w:t>中标人自行负责其招聘员工的一切工资、福利；如发生工伤、疾病乃至死亡的一切</w:t>
      </w:r>
      <w:r>
        <w:rPr>
          <w:spacing w:val="-5"/>
          <w:sz w:val="24"/>
        </w:rPr>
        <w:t>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pPr>
        <w:pStyle w:val="11"/>
        <w:numPr>
          <w:ilvl w:val="0"/>
          <w:numId w:val="4"/>
        </w:numPr>
        <w:tabs>
          <w:tab w:val="left" w:pos="2525"/>
        </w:tabs>
        <w:spacing w:before="0" w:after="0" w:line="316" w:lineRule="auto"/>
        <w:ind w:left="1279" w:right="500" w:firstLine="420"/>
        <w:jc w:val="both"/>
        <w:rPr>
          <w:sz w:val="24"/>
        </w:rPr>
      </w:pPr>
      <w:r>
        <w:rPr>
          <w:sz w:val="24"/>
        </w:rPr>
        <w:t>全部服务人员的工作时间应严格按国家有关法律、法规要求的标准执行，因工作</w:t>
      </w:r>
      <w:r>
        <w:rPr>
          <w:spacing w:val="-4"/>
          <w:sz w:val="24"/>
        </w:rPr>
        <w:t>原因产生的合同要求外的加班</w:t>
      </w:r>
      <w:r>
        <w:rPr>
          <w:sz w:val="24"/>
        </w:rPr>
        <w:t>（含节假日加班</w:t>
      </w:r>
      <w:r>
        <w:rPr>
          <w:spacing w:val="-39"/>
          <w:sz w:val="24"/>
        </w:rPr>
        <w:t>）</w:t>
      </w:r>
      <w:r>
        <w:rPr>
          <w:spacing w:val="-5"/>
          <w:sz w:val="24"/>
        </w:rPr>
        <w:t>应严格按国家有关法律、法规要求的标准给付员工加班薪资（加班工资费用由中标方负责</w:t>
      </w:r>
      <w:r>
        <w:rPr>
          <w:spacing w:val="-120"/>
          <w:sz w:val="24"/>
        </w:rPr>
        <w:t>）</w:t>
      </w:r>
      <w:r>
        <w:rPr>
          <w:sz w:val="24"/>
        </w:rPr>
        <w:t>。</w:t>
      </w:r>
    </w:p>
    <w:p>
      <w:pPr>
        <w:spacing w:after="0" w:line="316" w:lineRule="auto"/>
        <w:jc w:val="both"/>
        <w:rPr>
          <w:sz w:val="24"/>
        </w:rPr>
        <w:sectPr>
          <w:pgSz w:w="11910" w:h="16840"/>
          <w:pgMar w:top="1340" w:right="420" w:bottom="280" w:left="0" w:header="720" w:footer="720" w:gutter="0"/>
          <w:cols w:space="720" w:num="1"/>
        </w:sectPr>
      </w:pPr>
    </w:p>
    <w:p>
      <w:pPr>
        <w:pStyle w:val="11"/>
        <w:numPr>
          <w:ilvl w:val="0"/>
          <w:numId w:val="4"/>
        </w:numPr>
        <w:tabs>
          <w:tab w:val="left" w:pos="2400"/>
        </w:tabs>
        <w:spacing w:before="41" w:after="0" w:line="316" w:lineRule="auto"/>
        <w:ind w:left="1699" w:right="404" w:firstLine="0"/>
        <w:jc w:val="left"/>
        <w:rPr>
          <w:sz w:val="24"/>
        </w:rPr>
      </w:pPr>
      <w:r>
        <w:rPr>
          <w:spacing w:val="-5"/>
          <w:sz w:val="24"/>
        </w:rPr>
        <w:t>全部服务人员入院时都必须政审，并且培训合格的才能上岗</w:t>
      </w:r>
      <w:r>
        <w:rPr>
          <w:sz w:val="24"/>
        </w:rPr>
        <w:t>（费用由中标方负责</w:t>
      </w:r>
      <w:r>
        <w:rPr>
          <w:spacing w:val="-120"/>
          <w:sz w:val="24"/>
        </w:rPr>
        <w:t>）</w:t>
      </w:r>
      <w:r>
        <w:rPr>
          <w:sz w:val="24"/>
        </w:rPr>
        <w:t>。</w:t>
      </w:r>
      <w:r>
        <w:rPr>
          <w:spacing w:val="-8"/>
          <w:sz w:val="24"/>
        </w:rPr>
        <w:t>根据医院等级复评要求，保安公司必须提供员工个信息、健康证、合同、培训证及考核对</w:t>
      </w:r>
    </w:p>
    <w:p>
      <w:pPr>
        <w:pStyle w:val="3"/>
        <w:spacing w:line="307" w:lineRule="exact"/>
        <w:ind w:left="1260"/>
        <w:rPr>
          <w:sz w:val="25"/>
        </w:rPr>
      </w:pPr>
      <w:r>
        <w:t>资料。</w:t>
      </w:r>
      <w:bookmarkStart w:id="7" w:name="_GoBack"/>
      <w:bookmarkEnd w:id="7"/>
    </w:p>
    <w:p>
      <w:pPr>
        <w:pStyle w:val="11"/>
        <w:numPr>
          <w:ilvl w:val="0"/>
          <w:numId w:val="4"/>
        </w:numPr>
        <w:tabs>
          <w:tab w:val="left" w:pos="2400"/>
        </w:tabs>
        <w:spacing w:before="1" w:after="0" w:line="316" w:lineRule="auto"/>
        <w:ind w:left="1279" w:right="587" w:firstLine="420"/>
        <w:jc w:val="both"/>
        <w:rPr>
          <w:sz w:val="24"/>
        </w:rPr>
      </w:pPr>
      <w:r>
        <w:rPr>
          <w:spacing w:val="-5"/>
          <w:sz w:val="24"/>
        </w:rPr>
        <w:t>院方不接受投标人任何因遗漏报价而发生的费用追加，因投标人违反《劳动法》等法律法规而造成院方的连带责任和损失全部由投标人承担。</w:t>
      </w:r>
    </w:p>
    <w:p>
      <w:pPr>
        <w:pStyle w:val="11"/>
        <w:numPr>
          <w:ilvl w:val="0"/>
          <w:numId w:val="4"/>
        </w:numPr>
        <w:tabs>
          <w:tab w:val="left" w:pos="2400"/>
        </w:tabs>
        <w:spacing w:before="0" w:after="0" w:line="316" w:lineRule="auto"/>
        <w:ind w:left="1279" w:right="493" w:firstLine="420"/>
        <w:jc w:val="both"/>
        <w:rPr>
          <w:sz w:val="24"/>
        </w:rPr>
      </w:pPr>
      <w:r>
        <w:rPr>
          <w:spacing w:val="-3"/>
          <w:sz w:val="24"/>
        </w:rPr>
        <w:t>中标人须认真履行职责，严格按服务协议中的质量保证体系做好院内的承包服务工</w:t>
      </w:r>
      <w:r>
        <w:rPr>
          <w:spacing w:val="-10"/>
          <w:sz w:val="24"/>
        </w:rPr>
        <w:t>作。院方将落实管理人员进行制度职责的考核，确保在岗在位，各尽其职，保证符合各项服务基</w:t>
      </w:r>
      <w:r>
        <w:rPr>
          <w:spacing w:val="-5"/>
          <w:sz w:val="24"/>
        </w:rPr>
        <w:t>本频次要求和各项质量标准。</w:t>
      </w:r>
    </w:p>
    <w:p>
      <w:pPr>
        <w:pStyle w:val="11"/>
        <w:numPr>
          <w:ilvl w:val="0"/>
          <w:numId w:val="4"/>
        </w:numPr>
        <w:tabs>
          <w:tab w:val="left" w:pos="2525"/>
        </w:tabs>
        <w:spacing w:before="0" w:after="0" w:line="316" w:lineRule="auto"/>
        <w:ind w:left="1279" w:right="563" w:firstLine="540"/>
        <w:jc w:val="both"/>
        <w:rPr>
          <w:sz w:val="24"/>
        </w:rPr>
      </w:pPr>
      <w:r>
        <w:rPr>
          <w:spacing w:val="-1"/>
          <w:sz w:val="24"/>
        </w:rPr>
        <w:t>中标人应保证在承包期内其员工最低月工资不低于临安区最低工资标准，并按时</w:t>
      </w:r>
      <w:r>
        <w:rPr>
          <w:sz w:val="24"/>
        </w:rPr>
        <w:t>支付其加班工资。</w:t>
      </w:r>
    </w:p>
    <w:p>
      <w:pPr>
        <w:pStyle w:val="11"/>
        <w:numPr>
          <w:ilvl w:val="0"/>
          <w:numId w:val="4"/>
        </w:numPr>
        <w:tabs>
          <w:tab w:val="left" w:pos="2568"/>
        </w:tabs>
        <w:spacing w:before="0" w:after="0" w:line="316" w:lineRule="auto"/>
        <w:ind w:left="1384" w:right="498" w:firstLine="480"/>
        <w:jc w:val="both"/>
        <w:rPr>
          <w:sz w:val="24"/>
        </w:rPr>
      </w:pPr>
      <w:r>
        <w:rPr>
          <w:sz w:val="24"/>
        </w:rPr>
        <w:t>中标人应保证，在合同期内其员工最低月工资不低于临安区最低工资标准，并以政府文件发布时间为准</w:t>
      </w:r>
      <w:r>
        <w:rPr>
          <w:spacing w:val="-154"/>
          <w:sz w:val="24"/>
        </w:rPr>
        <w:t>。</w:t>
      </w:r>
      <w:r>
        <w:rPr>
          <w:sz w:val="24"/>
        </w:rPr>
        <w:t>（</w:t>
      </w:r>
      <w:r>
        <w:rPr>
          <w:spacing w:val="-5"/>
          <w:sz w:val="24"/>
        </w:rPr>
        <w:t>在最低工资标准上调的情况下，增加部分的支出由中标方承担，不由医院承担</w:t>
      </w:r>
      <w:r>
        <w:rPr>
          <w:spacing w:val="-120"/>
          <w:sz w:val="24"/>
        </w:rPr>
        <w:t>）</w:t>
      </w:r>
      <w:r>
        <w:rPr>
          <w:sz w:val="24"/>
        </w:rPr>
        <w:t>；</w:t>
      </w:r>
    </w:p>
    <w:p>
      <w:pPr>
        <w:pStyle w:val="11"/>
        <w:numPr>
          <w:ilvl w:val="0"/>
          <w:numId w:val="4"/>
        </w:numPr>
        <w:tabs>
          <w:tab w:val="left" w:pos="2568"/>
        </w:tabs>
        <w:spacing w:before="0" w:after="0" w:line="314" w:lineRule="auto"/>
        <w:ind w:left="1384" w:right="500" w:firstLine="480"/>
        <w:jc w:val="both"/>
        <w:rPr>
          <w:sz w:val="24"/>
        </w:rPr>
      </w:pPr>
      <w:r>
        <w:rPr>
          <w:spacing w:val="-1"/>
          <w:sz w:val="24"/>
        </w:rPr>
        <w:t>医院将对中标人的人员在岗情况进行不定期抽查，每发现一例缺岗，将在结算费</w:t>
      </w:r>
      <w:r>
        <w:rPr>
          <w:spacing w:val="-12"/>
          <w:sz w:val="24"/>
        </w:rPr>
        <w:t xml:space="preserve">用中扣除 </w:t>
      </w:r>
      <w:r>
        <w:rPr>
          <w:sz w:val="24"/>
        </w:rPr>
        <w:t>100</w:t>
      </w:r>
      <w:r>
        <w:rPr>
          <w:spacing w:val="-31"/>
          <w:sz w:val="24"/>
        </w:rPr>
        <w:t xml:space="preserve"> 元</w:t>
      </w:r>
      <w:r>
        <w:rPr>
          <w:sz w:val="24"/>
        </w:rPr>
        <w:t>/岗位。</w:t>
      </w:r>
    </w:p>
    <w:p>
      <w:pPr>
        <w:pStyle w:val="11"/>
        <w:numPr>
          <w:ilvl w:val="0"/>
          <w:numId w:val="4"/>
        </w:numPr>
        <w:tabs>
          <w:tab w:val="left" w:pos="2571"/>
        </w:tabs>
        <w:spacing w:before="0" w:after="0" w:line="316" w:lineRule="auto"/>
        <w:ind w:left="1384" w:right="500" w:firstLine="480"/>
        <w:jc w:val="both"/>
        <w:rPr>
          <w:sz w:val="24"/>
        </w:rPr>
      </w:pPr>
      <w:r>
        <w:rPr>
          <w:spacing w:val="-1"/>
          <w:sz w:val="24"/>
        </w:rPr>
        <w:t xml:space="preserve">合同总价中包含 </w:t>
      </w:r>
      <w:r>
        <w:rPr>
          <w:sz w:val="24"/>
        </w:rPr>
        <w:t>200/月/人的绩效考核费用，根据医院对中标人的绩效考核进行</w:t>
      </w:r>
      <w:r>
        <w:rPr>
          <w:spacing w:val="-6"/>
          <w:sz w:val="24"/>
        </w:rPr>
        <w:t xml:space="preserve">发放或酌情扣除，合同总价中包含 </w:t>
      </w:r>
      <w:r>
        <w:rPr>
          <w:sz w:val="24"/>
        </w:rPr>
        <w:t>150</w:t>
      </w:r>
      <w:r>
        <w:rPr>
          <w:spacing w:val="-28"/>
          <w:sz w:val="24"/>
        </w:rPr>
        <w:t xml:space="preserve"> 元</w:t>
      </w:r>
      <w:r>
        <w:rPr>
          <w:sz w:val="24"/>
        </w:rPr>
        <w:t>/月/</w:t>
      </w:r>
      <w:r>
        <w:rPr>
          <w:spacing w:val="-3"/>
          <w:sz w:val="24"/>
        </w:rPr>
        <w:t>人的人员工作用餐补贴，根据医院对中标人的派驻人员按人发放，但不含在人员月工资收入内。</w:t>
      </w:r>
    </w:p>
    <w:p>
      <w:pPr>
        <w:pStyle w:val="11"/>
        <w:numPr>
          <w:ilvl w:val="0"/>
          <w:numId w:val="4"/>
        </w:numPr>
        <w:tabs>
          <w:tab w:val="left" w:pos="2568"/>
        </w:tabs>
        <w:spacing w:before="0" w:after="0" w:line="316" w:lineRule="auto"/>
        <w:ind w:left="1384" w:right="503" w:firstLine="480"/>
        <w:jc w:val="both"/>
        <w:rPr>
          <w:sz w:val="24"/>
        </w:rPr>
      </w:pPr>
      <w:r>
        <w:rPr>
          <w:sz w:val="24"/>
        </w:rPr>
        <w:t>如医院要求增加/</w:t>
      </w:r>
      <w:r>
        <w:rPr>
          <w:spacing w:val="-8"/>
          <w:sz w:val="24"/>
        </w:rPr>
        <w:t>减少一个岗位，中标方需提出价格调整的方案及列出每小时加班</w:t>
      </w:r>
      <w:r>
        <w:rPr>
          <w:spacing w:val="-17"/>
          <w:sz w:val="24"/>
        </w:rPr>
        <w:t>费用的收费标准</w:t>
      </w:r>
      <w:r>
        <w:rPr>
          <w:sz w:val="24"/>
        </w:rPr>
        <w:t>（</w:t>
      </w:r>
      <w:r>
        <w:rPr>
          <w:spacing w:val="-8"/>
          <w:sz w:val="24"/>
        </w:rPr>
        <w:t>不含在总价内，不得超出本次报价</w:t>
      </w:r>
      <w:r>
        <w:rPr>
          <w:spacing w:val="-52"/>
          <w:sz w:val="24"/>
        </w:rPr>
        <w:t>）</w:t>
      </w:r>
      <w:r>
        <w:rPr>
          <w:spacing w:val="-20"/>
          <w:sz w:val="24"/>
        </w:rPr>
        <w:t>，以便于在原合同中增减。续签合同时， 按最新的岗位数更新合同金额。合同期内，增减岗位产生的费用调整，双方签订补充协议。</w:t>
      </w:r>
    </w:p>
    <w:p>
      <w:pPr>
        <w:pStyle w:val="3"/>
        <w:spacing w:before="5"/>
      </w:pPr>
    </w:p>
    <w:p>
      <w:pPr>
        <w:pStyle w:val="11"/>
        <w:numPr>
          <w:ilvl w:val="0"/>
          <w:numId w:val="4"/>
        </w:numPr>
        <w:tabs>
          <w:tab w:val="left" w:pos="2400"/>
        </w:tabs>
        <w:spacing w:before="0" w:after="0" w:line="314" w:lineRule="auto"/>
        <w:ind w:left="1279" w:right="587" w:firstLine="420"/>
        <w:jc w:val="both"/>
        <w:rPr>
          <w:sz w:val="24"/>
        </w:rPr>
      </w:pPr>
      <w:r>
        <w:rPr>
          <w:spacing w:val="-5"/>
          <w:sz w:val="24"/>
        </w:rPr>
        <w:t>院方不接受投标人任何因遗漏报价而发生的费用追加，因投标人违反《劳动法》等法律法规而造成院方的连带责任和损失全部由投标人承担。</w:t>
      </w:r>
    </w:p>
    <w:p>
      <w:pPr>
        <w:pStyle w:val="11"/>
        <w:numPr>
          <w:ilvl w:val="0"/>
          <w:numId w:val="4"/>
        </w:numPr>
        <w:tabs>
          <w:tab w:val="left" w:pos="2400"/>
        </w:tabs>
        <w:spacing w:before="3" w:after="0" w:line="316" w:lineRule="auto"/>
        <w:ind w:left="1279" w:right="493" w:firstLine="420"/>
        <w:jc w:val="both"/>
        <w:rPr>
          <w:sz w:val="24"/>
        </w:rPr>
      </w:pPr>
      <w:r>
        <w:rPr>
          <w:spacing w:val="-3"/>
          <w:sz w:val="24"/>
        </w:rPr>
        <w:t>中标人须认真履行职责，严格按服务协议中的质量保证体系做好院内的承包服务工</w:t>
      </w:r>
      <w:r>
        <w:rPr>
          <w:spacing w:val="-10"/>
          <w:sz w:val="24"/>
        </w:rPr>
        <w:t>作。院方将落实管理人员进行制度职责的考核，确保在岗在位，各尽其职，保证符合各项服务基</w:t>
      </w:r>
      <w:r>
        <w:rPr>
          <w:spacing w:val="-5"/>
          <w:sz w:val="24"/>
        </w:rPr>
        <w:t>本频次要求和各项质量标准。</w:t>
      </w:r>
    </w:p>
    <w:p>
      <w:pPr>
        <w:pStyle w:val="11"/>
        <w:numPr>
          <w:ilvl w:val="0"/>
          <w:numId w:val="4"/>
        </w:numPr>
        <w:tabs>
          <w:tab w:val="left" w:pos="2525"/>
        </w:tabs>
        <w:spacing w:before="0" w:after="0" w:line="314" w:lineRule="auto"/>
        <w:ind w:left="1279" w:right="563" w:firstLine="540"/>
        <w:jc w:val="both"/>
        <w:rPr>
          <w:sz w:val="24"/>
        </w:rPr>
      </w:pPr>
      <w:r>
        <w:rPr>
          <w:spacing w:val="-1"/>
          <w:sz w:val="24"/>
        </w:rPr>
        <w:t>中标人应保证在承包期内其员工最低月工资不低于临安区最低工资标准，并按时</w:t>
      </w:r>
      <w:r>
        <w:rPr>
          <w:sz w:val="24"/>
        </w:rPr>
        <w:t>支付其加班工资。</w:t>
      </w:r>
    </w:p>
    <w:p>
      <w:pPr>
        <w:pStyle w:val="11"/>
        <w:numPr>
          <w:ilvl w:val="0"/>
          <w:numId w:val="4"/>
        </w:numPr>
        <w:tabs>
          <w:tab w:val="left" w:pos="2568"/>
        </w:tabs>
        <w:spacing w:before="2" w:after="0" w:line="316" w:lineRule="auto"/>
        <w:ind w:left="1384" w:right="498" w:firstLine="480"/>
        <w:jc w:val="both"/>
        <w:rPr>
          <w:sz w:val="24"/>
        </w:rPr>
      </w:pPr>
      <w:r>
        <w:rPr>
          <w:sz w:val="24"/>
        </w:rPr>
        <w:t>中标人应保证，在合同期内其员工最低月工资不低于临安区最低工资标准，并以政府文件发布时间为准</w:t>
      </w:r>
      <w:r>
        <w:rPr>
          <w:spacing w:val="-154"/>
          <w:sz w:val="24"/>
        </w:rPr>
        <w:t>。</w:t>
      </w:r>
      <w:r>
        <w:rPr>
          <w:sz w:val="24"/>
        </w:rPr>
        <w:t>（</w:t>
      </w:r>
      <w:r>
        <w:rPr>
          <w:spacing w:val="-5"/>
          <w:sz w:val="24"/>
        </w:rPr>
        <w:t>在最低工资标准上调的情况下，增加部分的支出由中标方承担，不由医院承担</w:t>
      </w:r>
      <w:r>
        <w:rPr>
          <w:spacing w:val="-120"/>
          <w:sz w:val="24"/>
        </w:rPr>
        <w:t>）</w:t>
      </w:r>
      <w:r>
        <w:rPr>
          <w:sz w:val="24"/>
        </w:rPr>
        <w:t>；</w:t>
      </w:r>
    </w:p>
    <w:p>
      <w:pPr>
        <w:pStyle w:val="11"/>
        <w:numPr>
          <w:ilvl w:val="0"/>
          <w:numId w:val="4"/>
        </w:numPr>
        <w:tabs>
          <w:tab w:val="left" w:pos="2568"/>
        </w:tabs>
        <w:spacing w:before="0" w:after="0" w:line="316" w:lineRule="auto"/>
        <w:ind w:left="1384" w:right="500" w:firstLine="480"/>
        <w:jc w:val="both"/>
        <w:rPr>
          <w:sz w:val="24"/>
        </w:rPr>
      </w:pPr>
      <w:r>
        <w:rPr>
          <w:spacing w:val="-1"/>
          <w:sz w:val="24"/>
        </w:rPr>
        <w:t>医院将对中标人的人员在岗情况进行不定期抽查，每发现一例缺岗，将在结算费</w:t>
      </w:r>
      <w:r>
        <w:rPr>
          <w:spacing w:val="-12"/>
          <w:sz w:val="24"/>
        </w:rPr>
        <w:t xml:space="preserve">用中扣除 </w:t>
      </w:r>
      <w:r>
        <w:rPr>
          <w:sz w:val="24"/>
        </w:rPr>
        <w:t>100</w:t>
      </w:r>
      <w:r>
        <w:rPr>
          <w:spacing w:val="-31"/>
          <w:sz w:val="24"/>
        </w:rPr>
        <w:t xml:space="preserve"> 元</w:t>
      </w:r>
      <w:r>
        <w:rPr>
          <w:sz w:val="24"/>
        </w:rPr>
        <w:t>/岗位。</w:t>
      </w:r>
    </w:p>
    <w:p>
      <w:pPr>
        <w:pStyle w:val="11"/>
        <w:numPr>
          <w:ilvl w:val="0"/>
          <w:numId w:val="4"/>
        </w:numPr>
        <w:tabs>
          <w:tab w:val="left" w:pos="2571"/>
        </w:tabs>
        <w:spacing w:before="0" w:after="0" w:line="316" w:lineRule="auto"/>
        <w:ind w:left="1384" w:right="500" w:firstLine="480"/>
        <w:jc w:val="both"/>
        <w:rPr>
          <w:sz w:val="24"/>
        </w:rPr>
      </w:pPr>
      <w:r>
        <w:rPr>
          <w:spacing w:val="-1"/>
          <w:sz w:val="24"/>
        </w:rPr>
        <w:t xml:space="preserve">合同总价中包含 </w:t>
      </w:r>
      <w:r>
        <w:rPr>
          <w:sz w:val="24"/>
        </w:rPr>
        <w:t>200/月/人的绩效考核费用，根据医院对中标人的绩效考核进行</w:t>
      </w:r>
      <w:r>
        <w:rPr>
          <w:spacing w:val="-6"/>
          <w:sz w:val="24"/>
        </w:rPr>
        <w:t xml:space="preserve">发放或酌情扣除，合同总价中包含 </w:t>
      </w:r>
      <w:r>
        <w:rPr>
          <w:sz w:val="24"/>
        </w:rPr>
        <w:t>150</w:t>
      </w:r>
      <w:r>
        <w:rPr>
          <w:spacing w:val="-28"/>
          <w:sz w:val="24"/>
        </w:rPr>
        <w:t xml:space="preserve"> 元</w:t>
      </w:r>
      <w:r>
        <w:rPr>
          <w:sz w:val="24"/>
        </w:rPr>
        <w:t>/月/</w:t>
      </w:r>
      <w:r>
        <w:rPr>
          <w:spacing w:val="-3"/>
          <w:sz w:val="24"/>
        </w:rPr>
        <w:t>人的人员工作用餐补贴，根据医院对中标人的派驻人员按人发放，但不含在人员月工资收入内。</w:t>
      </w:r>
    </w:p>
    <w:p>
      <w:pPr>
        <w:spacing w:after="0" w:line="316" w:lineRule="auto"/>
        <w:jc w:val="both"/>
        <w:rPr>
          <w:sz w:val="24"/>
        </w:rPr>
        <w:sectPr>
          <w:pgSz w:w="11910" w:h="16840"/>
          <w:pgMar w:top="1340" w:right="420" w:bottom="280" w:left="0" w:header="720" w:footer="720" w:gutter="0"/>
          <w:cols w:space="720" w:num="1"/>
        </w:sectPr>
      </w:pPr>
    </w:p>
    <w:p>
      <w:pPr>
        <w:pStyle w:val="11"/>
        <w:numPr>
          <w:ilvl w:val="0"/>
          <w:numId w:val="4"/>
        </w:numPr>
        <w:tabs>
          <w:tab w:val="left" w:pos="2568"/>
        </w:tabs>
        <w:spacing w:before="41" w:after="0" w:line="316" w:lineRule="auto"/>
        <w:ind w:left="1384" w:right="421" w:firstLine="480"/>
        <w:jc w:val="left"/>
        <w:rPr>
          <w:sz w:val="24"/>
        </w:rPr>
      </w:pPr>
      <w:r>
        <w:rPr>
          <w:spacing w:val="-9"/>
          <w:sz w:val="24"/>
        </w:rPr>
        <w:t>如医院要求增减岗位，中标方需无条件满足医院的需求，按最新的岗位数更新合同金额。合同期内，增减岗位产生的费用</w:t>
      </w:r>
      <w:r>
        <w:rPr>
          <w:rFonts w:hint="eastAsia"/>
          <w:spacing w:val="-9"/>
          <w:sz w:val="24"/>
          <w:lang w:val="en-US" w:eastAsia="zh-CN"/>
        </w:rPr>
        <w:t>按照原合同内招标价格进行</w:t>
      </w:r>
      <w:r>
        <w:rPr>
          <w:spacing w:val="-9"/>
          <w:sz w:val="24"/>
        </w:rPr>
        <w:t>调整，双方签订补充协议。</w:t>
      </w:r>
    </w:p>
    <w:p>
      <w:pPr>
        <w:spacing w:after="0" w:line="316" w:lineRule="auto"/>
        <w:jc w:val="left"/>
        <w:rPr>
          <w:sz w:val="24"/>
        </w:rPr>
        <w:sectPr>
          <w:pgSz w:w="11910" w:h="16840"/>
          <w:pgMar w:top="1340" w:right="420" w:bottom="280" w:left="0" w:header="720" w:footer="720" w:gutter="0"/>
          <w:cols w:space="720" w:num="1"/>
        </w:sectPr>
      </w:pPr>
    </w:p>
    <w:p>
      <w:pPr>
        <w:pStyle w:val="3"/>
        <w:numPr>
          <w:ilvl w:val="0"/>
          <w:numId w:val="5"/>
        </w:numPr>
        <w:spacing w:before="43"/>
        <w:ind w:left="1699"/>
        <w:rPr>
          <w:sz w:val="30"/>
          <w:szCs w:val="30"/>
        </w:rPr>
      </w:pPr>
      <w:r>
        <w:rPr>
          <w:sz w:val="30"/>
          <w:szCs w:val="30"/>
        </w:rPr>
        <w:t>考核细则</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30"/>
          <w:szCs w:val="30"/>
        </w:rPr>
      </w:pPr>
      <w:r>
        <w:rPr>
          <w:rFonts w:hint="eastAsia"/>
          <w:sz w:val="30"/>
          <w:szCs w:val="30"/>
          <w:lang w:eastAsia="zh-CN"/>
        </w:rPr>
        <w:t>医院</w:t>
      </w:r>
      <w:r>
        <w:rPr>
          <w:rFonts w:hint="eastAsia"/>
          <w:sz w:val="30"/>
          <w:szCs w:val="30"/>
        </w:rPr>
        <w:t>保</w:t>
      </w:r>
      <w:r>
        <w:rPr>
          <w:rFonts w:hint="eastAsia"/>
          <w:sz w:val="30"/>
          <w:szCs w:val="30"/>
          <w:lang w:eastAsia="zh-CN"/>
        </w:rPr>
        <w:t>安</w:t>
      </w:r>
      <w:r>
        <w:rPr>
          <w:rFonts w:hint="eastAsia"/>
          <w:sz w:val="30"/>
          <w:szCs w:val="30"/>
        </w:rPr>
        <w:t>服务管理质量考核标准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一、考核</w:t>
      </w:r>
      <w:r>
        <w:rPr>
          <w:rFonts w:hint="eastAsia" w:asciiTheme="minorEastAsia" w:hAnsiTheme="minorEastAsia" w:eastAsiaTheme="minorEastAsia" w:cstheme="minorEastAsia"/>
          <w:sz w:val="21"/>
          <w:szCs w:val="21"/>
          <w:lang w:val="en-US" w:eastAsia="zh-CN"/>
        </w:rPr>
        <w:t>评分方法</w:t>
      </w:r>
      <w:r>
        <w:rPr>
          <w:rFonts w:hint="eastAsia" w:asciiTheme="minorEastAsia" w:hAnsi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Theme="minorEastAsia" w:hAnsiTheme="minorEastAsia" w:eastAsiaTheme="minorEastAsia" w:cstheme="minorEastAsia"/>
          <w:sz w:val="21"/>
          <w:szCs w:val="21"/>
          <w:lang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人</w:t>
      </w:r>
      <w:r>
        <w:rPr>
          <w:rFonts w:hint="eastAsia" w:asciiTheme="minorEastAsia" w:hAnsiTheme="minorEastAsia" w:eastAsiaTheme="minorEastAsia" w:cstheme="minorEastAsia"/>
          <w:sz w:val="21"/>
          <w:szCs w:val="21"/>
        </w:rPr>
        <w:t xml:space="preserve">员到位率考核：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以中标</w:t>
      </w:r>
      <w:r>
        <w:rPr>
          <w:rFonts w:hint="eastAsia" w:asciiTheme="minorEastAsia" w:hAnsiTheme="minorEastAsia" w:cstheme="minorEastAsia"/>
          <w:color w:val="auto"/>
          <w:sz w:val="21"/>
          <w:szCs w:val="21"/>
          <w:lang w:val="en-US" w:eastAsia="zh-CN"/>
        </w:rPr>
        <w:t>及合同</w:t>
      </w:r>
      <w:r>
        <w:rPr>
          <w:rFonts w:hint="eastAsia" w:asciiTheme="minorEastAsia" w:hAnsiTheme="minorEastAsia" w:eastAsiaTheme="minorEastAsia" w:cstheme="minorEastAsia"/>
          <w:color w:val="auto"/>
          <w:sz w:val="21"/>
          <w:szCs w:val="21"/>
          <w:lang w:val="en-US" w:eastAsia="zh-CN"/>
        </w:rPr>
        <w:t>人数为基数，每缺编 1 人，扣除</w:t>
      </w:r>
      <w:r>
        <w:rPr>
          <w:rFonts w:hint="eastAsia" w:asciiTheme="minorEastAsia" w:hAnsiTheme="minorEastAsia" w:cstheme="minorEastAsia"/>
          <w:color w:val="auto"/>
          <w:sz w:val="21"/>
          <w:szCs w:val="21"/>
          <w:lang w:val="en-US" w:eastAsia="zh-CN"/>
        </w:rPr>
        <w:t>当月考评分</w:t>
      </w:r>
      <w:r>
        <w:rPr>
          <w:rFonts w:hint="default" w:asciiTheme="minorEastAsia" w:hAnsiTheme="minorEastAsia" w:cstheme="minorEastAsia"/>
          <w:color w:val="auto"/>
          <w:sz w:val="21"/>
          <w:szCs w:val="21"/>
          <w:lang w:eastAsia="zh-CN"/>
        </w:rPr>
        <w:t>0.5分。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10" w:firstLineChars="100"/>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2.月考核基础分为100分，考核比例：保卫部门考核分占60%，医院考核分占 20%，满意度测评分占20%（保卫部门考核分数60％＋医院考核分数20％＋满意度测评分数20％=100% ）；三项所得总分减去人员到位率考核扣分即为当月考核得分（保卫部门考核分数60％＋医院考核分数20％＋满意度测评分数20％-人员到位率考核扣分=当月考核得分，</w:t>
      </w:r>
      <w:r>
        <w:rPr>
          <w:rFonts w:hint="eastAsia" w:asciiTheme="majorEastAsia" w:hAnsiTheme="majorEastAsia" w:eastAsiaTheme="majorEastAsia" w:cstheme="majorEastAsia"/>
          <w:color w:val="auto"/>
          <w:sz w:val="21"/>
          <w:szCs w:val="21"/>
          <w:lang w:val="en-US" w:eastAsia="zh-CN"/>
        </w:rPr>
        <w:t>如有</w:t>
      </w:r>
      <w:r>
        <w:rPr>
          <w:rFonts w:hint="eastAsia" w:asciiTheme="minorEastAsia" w:hAnsiTheme="minorEastAsia" w:eastAsiaTheme="minorEastAsia" w:cstheme="minorEastAsia"/>
          <w:color w:val="auto"/>
          <w:spacing w:val="7"/>
          <w:sz w:val="21"/>
          <w:szCs w:val="21"/>
        </w:rPr>
        <w:t>表扬、意见给予相应的加分、减分</w:t>
      </w:r>
      <w:r>
        <w:rPr>
          <w:rFonts w:hint="eastAsia" w:asciiTheme="majorEastAsia" w:hAnsiTheme="majorEastAsia" w:eastAsiaTheme="majorEastAsia" w:cstheme="majorEastAsia"/>
          <w:sz w:val="21"/>
          <w:szCs w:val="21"/>
          <w:lang w:val="en-US" w:eastAsia="zh-CN"/>
        </w:rPr>
        <w:t>）；年终得分为各月得分的平均值。</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jc w:val="left"/>
        <w:textAlignment w:val="auto"/>
        <w:rPr>
          <w:rFonts w:hint="eastAsia" w:asciiTheme="majorEastAsia" w:hAnsiTheme="majorEastAsia" w:eastAsiaTheme="majorEastAsia" w:cstheme="maj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保卫部门考核表详见附件1，医院考核表详见附件2，满意度测评详见附件3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b w:val="0"/>
          <w:bCs w:val="0"/>
          <w:color w:val="auto"/>
          <w:sz w:val="21"/>
          <w:szCs w:val="21"/>
        </w:rPr>
        <w:t>保</w:t>
      </w:r>
      <w:r>
        <w:rPr>
          <w:rFonts w:hint="eastAsia" w:asciiTheme="minorEastAsia" w:hAnsiTheme="minorEastAsia" w:eastAsiaTheme="minorEastAsia" w:cstheme="minorEastAsia"/>
          <w:b w:val="0"/>
          <w:bCs w:val="0"/>
          <w:color w:val="auto"/>
          <w:sz w:val="21"/>
          <w:szCs w:val="21"/>
          <w:lang w:eastAsia="zh-CN"/>
        </w:rPr>
        <w:t>安</w:t>
      </w:r>
      <w:r>
        <w:rPr>
          <w:rFonts w:hint="eastAsia" w:asciiTheme="minorEastAsia" w:hAnsiTheme="minorEastAsia" w:eastAsiaTheme="minorEastAsia" w:cstheme="minorEastAsia"/>
          <w:b w:val="0"/>
          <w:bCs w:val="0"/>
          <w:color w:val="auto"/>
          <w:sz w:val="21"/>
          <w:szCs w:val="21"/>
        </w:rPr>
        <w:t>服务管理质量考核</w:t>
      </w:r>
      <w:r>
        <w:rPr>
          <w:rFonts w:hint="eastAsia" w:asciiTheme="minorEastAsia" w:hAnsiTheme="minorEastAsia" w:cstheme="minorEastAsia"/>
          <w:b w:val="0"/>
          <w:bCs w:val="0"/>
          <w:color w:val="auto"/>
          <w:sz w:val="21"/>
          <w:szCs w:val="21"/>
          <w:lang w:eastAsia="zh-CN"/>
        </w:rPr>
        <w:t>情况汇总表详见</w:t>
      </w:r>
      <w:r>
        <w:rPr>
          <w:rFonts w:hint="eastAsia" w:asciiTheme="minorEastAsia" w:hAnsiTheme="minorEastAsia" w:eastAsiaTheme="minorEastAsia" w:cstheme="minorEastAsia"/>
          <w:b w:val="0"/>
          <w:bCs w:val="0"/>
          <w:sz w:val="21"/>
          <w:szCs w:val="21"/>
          <w:lang w:val="en-US" w:eastAsia="zh-CN"/>
        </w:rPr>
        <w:t>附件</w:t>
      </w:r>
      <w:r>
        <w:rPr>
          <w:rFonts w:hint="eastAsia" w:asciiTheme="minorEastAsia" w:hAnsiTheme="minorEastAsia" w:cstheme="minorEastAsia"/>
          <w:b w:val="0"/>
          <w:bCs w:val="0"/>
          <w:sz w:val="21"/>
          <w:szCs w:val="21"/>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二、考核分数与费用支付：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考核总分数在 90 分以上</w:t>
      </w:r>
      <w:r>
        <w:rPr>
          <w:rFonts w:hint="eastAsia" w:asciiTheme="minorEastAsia" w:hAnsiTheme="minorEastAsia" w:cstheme="minorEastAsia"/>
          <w:sz w:val="21"/>
          <w:szCs w:val="21"/>
          <w:lang w:val="en-US" w:eastAsia="zh-CN"/>
        </w:rPr>
        <w:t>（含90分）</w:t>
      </w:r>
      <w:r>
        <w:rPr>
          <w:rFonts w:hint="eastAsia" w:asciiTheme="minorEastAsia" w:hAnsiTheme="minorEastAsia" w:eastAsiaTheme="minorEastAsia" w:cstheme="minorEastAsia"/>
          <w:sz w:val="21"/>
          <w:szCs w:val="21"/>
          <w:lang w:val="en-US" w:eastAsia="zh-CN"/>
        </w:rPr>
        <w:t xml:space="preserve">，保安费用按合同价的 100％全额支付；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考核总分数在 90 分以下，扣除当月总服务费用的 10% ×（100-分数）%进行支付。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both"/>
        <w:textAlignment w:val="auto"/>
        <w:rPr>
          <w:rFonts w:hint="eastAsia" w:asciiTheme="majorEastAsia" w:hAnsiTheme="majorEastAsia" w:eastAsiaTheme="majorEastAsia" w:cstheme="maj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考</w:t>
      </w:r>
      <w:r>
        <w:rPr>
          <w:rFonts w:hint="eastAsia" w:asciiTheme="majorEastAsia" w:hAnsiTheme="majorEastAsia" w:eastAsiaTheme="majorEastAsia" w:cstheme="majorEastAsia"/>
          <w:sz w:val="21"/>
          <w:szCs w:val="21"/>
          <w:lang w:val="en-US" w:eastAsia="zh-CN"/>
        </w:rPr>
        <w:t xml:space="preserve">核总分数在 60 分以下，甲方有权拒付当月费用。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sz w:val="21"/>
          <w:szCs w:val="21"/>
          <w:lang w:val="en-US" w:eastAsia="zh-CN"/>
        </w:rPr>
        <w:t>三、对日常和专项</w:t>
      </w:r>
      <w:r>
        <w:rPr>
          <w:rFonts w:hint="eastAsia" w:asciiTheme="minorEastAsia" w:hAnsiTheme="minorEastAsia" w:eastAsiaTheme="minorEastAsia" w:cstheme="minorEastAsia"/>
          <w:sz w:val="21"/>
          <w:szCs w:val="21"/>
          <w:lang w:val="en-US" w:eastAsia="zh-CN"/>
        </w:rPr>
        <w:t>检查</w:t>
      </w:r>
      <w:r>
        <w:rPr>
          <w:rFonts w:hint="eastAsia" w:asciiTheme="minorEastAsia" w:hAnsiTheme="minorEastAsia" w:cstheme="minorEastAsia"/>
          <w:sz w:val="21"/>
          <w:szCs w:val="21"/>
          <w:lang w:val="en-US" w:eastAsia="zh-CN"/>
        </w:rPr>
        <w:t>发现</w:t>
      </w:r>
      <w:r>
        <w:rPr>
          <w:rFonts w:hint="eastAsia" w:asciiTheme="minorEastAsia" w:hAnsiTheme="minorEastAsia" w:eastAsiaTheme="minorEastAsia" w:cstheme="minorEastAsia"/>
          <w:sz w:val="21"/>
          <w:szCs w:val="21"/>
          <w:lang w:val="en-US" w:eastAsia="zh-CN"/>
        </w:rPr>
        <w:t>的问题整改不力的，作专项扣款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医院汇总分析各级检查结果后，梳理出比较重大的问题进行专项检查，</w:t>
      </w:r>
      <w:r>
        <w:rPr>
          <w:rFonts w:hint="eastAsia" w:asciiTheme="minorEastAsia" w:hAnsiTheme="minorEastAsia" w:cstheme="minorEastAsia"/>
          <w:sz w:val="21"/>
          <w:szCs w:val="21"/>
          <w:lang w:val="en-US" w:eastAsia="zh-CN"/>
        </w:rPr>
        <w:t>保安公司</w:t>
      </w:r>
      <w:r>
        <w:rPr>
          <w:rFonts w:hint="eastAsia" w:asciiTheme="minorEastAsia" w:hAnsiTheme="minorEastAsia" w:eastAsiaTheme="minorEastAsia" w:cstheme="minorEastAsia"/>
          <w:sz w:val="21"/>
          <w:szCs w:val="21"/>
          <w:lang w:val="en-US" w:eastAsia="zh-CN"/>
        </w:rPr>
        <w:t>如果不能有效整改，予以警告，警告后不整改的扣 1000</w:t>
      </w:r>
      <w:r>
        <w:rPr>
          <w:rFonts w:hint="eastAsia" w:asciiTheme="minorEastAsia" w:hAnsiTheme="minorEastAsia" w:cstheme="minorEastAsia"/>
          <w:sz w:val="21"/>
          <w:szCs w:val="21"/>
          <w:lang w:val="en-US" w:eastAsia="zh-CN"/>
        </w:rPr>
        <w:t>元</w:t>
      </w:r>
      <w:r>
        <w:rPr>
          <w:rFonts w:hint="eastAsia" w:asciiTheme="minorEastAsia" w:hAnsiTheme="minorEastAsia" w:eastAsiaTheme="minorEastAsia" w:cstheme="minorEastAsia"/>
          <w:sz w:val="21"/>
          <w:szCs w:val="21"/>
          <w:lang w:val="en-US" w:eastAsia="zh-CN"/>
        </w:rPr>
        <w:t>，扣款后仍不整改的扣 2000</w:t>
      </w:r>
      <w:r>
        <w:rPr>
          <w:rFonts w:hint="eastAsia" w:asciiTheme="minorEastAsia" w:hAnsiTheme="minorEastAsia" w:cstheme="minorEastAsia"/>
          <w:sz w:val="21"/>
          <w:szCs w:val="21"/>
          <w:lang w:val="en-US" w:eastAsia="zh-CN"/>
        </w:rPr>
        <w:t>元</w:t>
      </w:r>
      <w:r>
        <w:rPr>
          <w:rFonts w:hint="eastAsia" w:asciiTheme="minorEastAsia" w:hAnsiTheme="minorEastAsia" w:eastAsiaTheme="minorEastAsia" w:cstheme="minorEastAsia"/>
          <w:sz w:val="21"/>
          <w:szCs w:val="21"/>
          <w:lang w:val="en-US" w:eastAsia="zh-CN"/>
        </w:rPr>
        <w:t>，第三次发生扣 4000</w:t>
      </w:r>
      <w:r>
        <w:rPr>
          <w:rFonts w:hint="eastAsia" w:asciiTheme="minorEastAsia" w:hAnsiTheme="minorEastAsia" w:cstheme="minorEastAsia"/>
          <w:sz w:val="21"/>
          <w:szCs w:val="21"/>
          <w:lang w:val="en-US" w:eastAsia="zh-CN"/>
        </w:rPr>
        <w:t>元</w:t>
      </w:r>
      <w:r>
        <w:rPr>
          <w:rFonts w:hint="eastAsia" w:asciiTheme="minorEastAsia" w:hAnsiTheme="minorEastAsia" w:eastAsiaTheme="minorEastAsia" w:cstheme="minorEastAsia"/>
          <w:sz w:val="21"/>
          <w:szCs w:val="21"/>
          <w:lang w:val="en-US" w:eastAsia="zh-CN"/>
        </w:rPr>
        <w:t>，以此类推。</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其它扣款：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根据《D-HQBZ-027临安区第一人民医院物业管理制度》执行。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附件1：保卫部门考核表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附件2：医院考核表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附件3：满意度</w:t>
      </w:r>
      <w:r>
        <w:rPr>
          <w:rFonts w:hint="eastAsia" w:asciiTheme="minorEastAsia" w:hAnsiTheme="minorEastAsia" w:cstheme="minorEastAsia"/>
          <w:sz w:val="21"/>
          <w:szCs w:val="21"/>
          <w:lang w:val="en-US" w:eastAsia="zh-CN"/>
        </w:rPr>
        <w:t>测评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sz w:val="21"/>
          <w:szCs w:val="21"/>
          <w:lang w:val="en-US" w:eastAsia="zh-CN"/>
        </w:rPr>
        <w:t>附件</w:t>
      </w:r>
      <w:r>
        <w:rPr>
          <w:rFonts w:hint="eastAsia" w:asciiTheme="minorEastAsia" w:hAnsi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color w:val="auto"/>
          <w:sz w:val="21"/>
          <w:szCs w:val="21"/>
        </w:rPr>
        <w:t>保</w:t>
      </w:r>
      <w:r>
        <w:rPr>
          <w:rFonts w:hint="eastAsia" w:asciiTheme="minorEastAsia" w:hAnsiTheme="minorEastAsia" w:eastAsiaTheme="minorEastAsia" w:cstheme="minorEastAsia"/>
          <w:b w:val="0"/>
          <w:bCs w:val="0"/>
          <w:color w:val="auto"/>
          <w:sz w:val="21"/>
          <w:szCs w:val="21"/>
          <w:lang w:eastAsia="zh-CN"/>
        </w:rPr>
        <w:t>安</w:t>
      </w:r>
      <w:r>
        <w:rPr>
          <w:rFonts w:hint="eastAsia" w:asciiTheme="minorEastAsia" w:hAnsiTheme="minorEastAsia" w:eastAsiaTheme="minorEastAsia" w:cstheme="minorEastAsia"/>
          <w:b w:val="0"/>
          <w:bCs w:val="0"/>
          <w:color w:val="auto"/>
          <w:sz w:val="21"/>
          <w:szCs w:val="21"/>
        </w:rPr>
        <w:t>服务管理质量考核</w:t>
      </w:r>
      <w:r>
        <w:rPr>
          <w:rFonts w:hint="eastAsia" w:asciiTheme="minorEastAsia" w:hAnsiTheme="minorEastAsia" w:cstheme="minorEastAsia"/>
          <w:b w:val="0"/>
          <w:bCs w:val="0"/>
          <w:color w:val="auto"/>
          <w:sz w:val="21"/>
          <w:szCs w:val="21"/>
          <w:lang w:eastAsia="zh-CN"/>
        </w:rPr>
        <w:t>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附件1：保卫部门考核表</w:t>
      </w:r>
    </w:p>
    <w:tbl>
      <w:tblPr>
        <w:tblStyle w:val="7"/>
        <w:tblpPr w:leftFromText="180" w:rightFromText="180" w:vertAnchor="text" w:horzAnchor="page" w:tblpX="824" w:tblpY="136"/>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98"/>
        <w:gridCol w:w="1533"/>
        <w:gridCol w:w="1749"/>
        <w:gridCol w:w="1612"/>
        <w:gridCol w:w="736"/>
        <w:gridCol w:w="722"/>
        <w:gridCol w:w="72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40" w:type="dxa"/>
            <w:gridSpan w:val="9"/>
            <w:noWrap w:val="0"/>
            <w:vAlign w:val="center"/>
          </w:tcPr>
          <w:p>
            <w:pPr>
              <w:ind w:firstLine="1767" w:firstLineChars="5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保安人员每月工作岗位职责、制度执行考核表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40" w:type="dxa"/>
            <w:gridSpan w:val="9"/>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检查</w:t>
            </w:r>
            <w:r>
              <w:rPr>
                <w:rFonts w:hint="eastAsia" w:asciiTheme="minorEastAsia" w:hAnsiTheme="minorEastAsia" w:eastAsiaTheme="minorEastAsia" w:cstheme="minorEastAsia"/>
                <w:b/>
                <w:bCs/>
                <w:sz w:val="21"/>
                <w:szCs w:val="21"/>
              </w:rPr>
              <w:t>日期：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41"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w:t>
            </w:r>
          </w:p>
        </w:tc>
        <w:tc>
          <w:tcPr>
            <w:tcW w:w="2331" w:type="dxa"/>
            <w:gridSpan w:val="2"/>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 核 内 容</w:t>
            </w:r>
          </w:p>
        </w:tc>
        <w:tc>
          <w:tcPr>
            <w:tcW w:w="4097" w:type="dxa"/>
            <w:gridSpan w:val="3"/>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 核 细 则</w:t>
            </w:r>
          </w:p>
        </w:tc>
        <w:tc>
          <w:tcPr>
            <w:tcW w:w="722"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自评分</w:t>
            </w:r>
          </w:p>
        </w:tc>
        <w:tc>
          <w:tcPr>
            <w:tcW w:w="722"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考核分</w:t>
            </w:r>
          </w:p>
        </w:tc>
        <w:tc>
          <w:tcPr>
            <w:tcW w:w="1627" w:type="dxa"/>
            <w:noWrap w:val="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left="2"/>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岗位制度职责执行10分</w:t>
            </w: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1、执行规章制度</w:t>
            </w:r>
          </w:p>
        </w:tc>
        <w:tc>
          <w:tcPr>
            <w:tcW w:w="73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72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72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1627" w:type="dxa"/>
            <w:vMerge w:val="restart"/>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600" w:hanging="600" w:hangingChars="2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2、履行岗位职责</w:t>
            </w:r>
          </w:p>
        </w:tc>
        <w:tc>
          <w:tcPr>
            <w:tcW w:w="73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1627" w:type="dxa"/>
            <w:vMerge w:val="continue"/>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仪表仪容端正</w:t>
            </w:r>
          </w:p>
          <w:p>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着装统一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9分</w:t>
            </w:r>
          </w:p>
        </w:tc>
        <w:tc>
          <w:tcPr>
            <w:tcW w:w="3361" w:type="dxa"/>
            <w:gridSpan w:val="2"/>
            <w:noWrap w:val="0"/>
            <w:vAlign w:val="center"/>
          </w:tcPr>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9"/>
                <w:sz w:val="21"/>
                <w:szCs w:val="21"/>
              </w:rPr>
            </w:pPr>
            <w:r>
              <w:rPr>
                <w:rFonts w:hint="eastAsia" w:asciiTheme="minorEastAsia" w:hAnsiTheme="minorEastAsia" w:eastAsiaTheme="minorEastAsia" w:cstheme="minorEastAsia"/>
                <w:sz w:val="21"/>
                <w:szCs w:val="21"/>
              </w:rPr>
              <w:t>1、规范穿着工作服</w:t>
            </w:r>
          </w:p>
        </w:tc>
        <w:tc>
          <w:tcPr>
            <w:tcW w:w="736" w:type="dxa"/>
            <w:noWrap w:val="0"/>
            <w:vAlign w:val="center"/>
          </w:tcPr>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9"/>
                <w:sz w:val="21"/>
                <w:szCs w:val="21"/>
              </w:rPr>
            </w:pPr>
            <w:r>
              <w:rPr>
                <w:rFonts w:hint="eastAsia" w:asciiTheme="minorEastAsia" w:hAnsiTheme="minorEastAsia" w:eastAsiaTheme="minorEastAsia" w:cstheme="minorEastAsia"/>
                <w:sz w:val="21"/>
                <w:szCs w:val="21"/>
              </w:rPr>
              <w:t>3分</w:t>
            </w: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pacing w:val="-6"/>
                <w:sz w:val="21"/>
                <w:szCs w:val="21"/>
              </w:rPr>
              <w:t>佩戴工作号牌</w:t>
            </w:r>
          </w:p>
        </w:tc>
        <w:tc>
          <w:tcPr>
            <w:tcW w:w="736" w:type="dxa"/>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9"/>
                <w:sz w:val="21"/>
                <w:szCs w:val="21"/>
              </w:rPr>
            </w:pPr>
            <w:r>
              <w:rPr>
                <w:rFonts w:hint="eastAsia" w:asciiTheme="minorEastAsia" w:hAnsiTheme="minorEastAsia" w:eastAsiaTheme="minorEastAsia" w:cstheme="minorEastAsia"/>
                <w:color w:val="000000"/>
                <w:spacing w:val="-6"/>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3、个人仪表仪容端庄</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9"/>
                <w:sz w:val="21"/>
                <w:szCs w:val="21"/>
              </w:rPr>
            </w:pPr>
            <w:r>
              <w:rPr>
                <w:rFonts w:hint="eastAsia" w:asciiTheme="minorEastAsia" w:hAnsiTheme="minorEastAsia" w:eastAsiaTheme="minorEastAsia" w:cstheme="minorEastAsia"/>
                <w:spacing w:val="-6"/>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left="1"/>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本职工作认真负责服务质量良好</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无投诉</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1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color w:val="000000"/>
                <w:spacing w:val="-10"/>
                <w:szCs w:val="21"/>
              </w:rPr>
              <w:t xml:space="preserve">无中途离岗、脱岗、睡岗  </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pacing w:val="-6"/>
                <w:sz w:val="21"/>
                <w:szCs w:val="21"/>
              </w:rPr>
              <w:t>3分</w:t>
            </w:r>
          </w:p>
        </w:tc>
        <w:tc>
          <w:tcPr>
            <w:tcW w:w="722" w:type="dxa"/>
            <w:vMerge w:val="restart"/>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6"/>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240" w:hanging="240" w:hangingChars="1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pacing w:val="-11"/>
                <w:sz w:val="21"/>
                <w:szCs w:val="21"/>
              </w:rPr>
              <w:t xml:space="preserve">本职工作及时完成         </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3分</w:t>
            </w: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6"/>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240" w:hanging="240" w:hangingChars="1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000000"/>
                <w:spacing w:val="-12"/>
                <w:sz w:val="21"/>
                <w:szCs w:val="21"/>
              </w:rPr>
              <w:t xml:space="preserve">无发生偷盗、安全事故  </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3分</w:t>
            </w: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6"/>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left="240" w:hanging="240" w:hangingChars="1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4、无被职工或患者投诉    </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3分</w:t>
            </w: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6"/>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岗位业务素质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c>
          <w:tcPr>
            <w:tcW w:w="3361" w:type="dxa"/>
            <w:gridSpan w:val="2"/>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2"/>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pacing w:val="-10"/>
                <w:sz w:val="21"/>
                <w:szCs w:val="21"/>
              </w:rPr>
              <w:t>沟通语言规范</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2分</w:t>
            </w:r>
          </w:p>
        </w:tc>
        <w:tc>
          <w:tcPr>
            <w:tcW w:w="722" w:type="dxa"/>
            <w:vMerge w:val="restart"/>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7"/>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7"/>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pacing w:val="-12"/>
                <w:sz w:val="21"/>
                <w:szCs w:val="21"/>
              </w:rPr>
              <w:t>遇到访者做到热情相待</w:t>
            </w:r>
          </w:p>
        </w:tc>
        <w:tc>
          <w:tcPr>
            <w:tcW w:w="736" w:type="dxa"/>
            <w:noWrap w:val="0"/>
            <w:vAlign w:val="center"/>
          </w:tcPr>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2"/>
                <w:sz w:val="21"/>
                <w:szCs w:val="21"/>
              </w:rPr>
            </w:pPr>
            <w:r>
              <w:rPr>
                <w:rFonts w:hint="eastAsia" w:asciiTheme="minorEastAsia" w:hAnsiTheme="minorEastAsia" w:eastAsiaTheme="minorEastAsia" w:cstheme="minorEastAsia"/>
                <w:color w:val="000000"/>
                <w:spacing w:val="-6"/>
                <w:sz w:val="21"/>
                <w:szCs w:val="21"/>
              </w:rPr>
              <w:t>2分</w:t>
            </w: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7"/>
              <w:rPr>
                <w:rFonts w:hint="eastAsia" w:asciiTheme="minorEastAsia" w:hAnsiTheme="minorEastAsia" w:eastAsiaTheme="minorEastAsia" w:cstheme="minorEastAsia"/>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pacing w:val="-12"/>
                <w:sz w:val="21"/>
                <w:szCs w:val="21"/>
              </w:rPr>
              <w:t>3、</w:t>
            </w:r>
            <w:r>
              <w:rPr>
                <w:rFonts w:hint="eastAsia" w:asciiTheme="minorEastAsia" w:hAnsiTheme="minorEastAsia" w:eastAsiaTheme="minorEastAsia" w:cstheme="minorEastAsia"/>
                <w:sz w:val="21"/>
                <w:szCs w:val="21"/>
              </w:rPr>
              <w:t>本岗位工作程序熟悉</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3分</w:t>
            </w: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7"/>
              <w:rPr>
                <w:rFonts w:hint="eastAsia" w:asciiTheme="minorEastAsia" w:hAnsiTheme="minorEastAsia" w:eastAsiaTheme="minorEastAsia" w:cstheme="minorEastAsia"/>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120" w:firstLineChars="5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7"/>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2"/>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color w:val="000000"/>
                <w:spacing w:val="-12"/>
                <w:sz w:val="21"/>
                <w:szCs w:val="21"/>
              </w:rPr>
              <w:t>参加操练、培训、例会</w:t>
            </w:r>
          </w:p>
        </w:tc>
        <w:tc>
          <w:tcPr>
            <w:tcW w:w="736" w:type="dxa"/>
            <w:noWrap w:val="0"/>
            <w:vAlign w:val="center"/>
          </w:tcPr>
          <w:p>
            <w:pPr>
              <w:pStyle w:val="17"/>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2"/>
                <w:sz w:val="21"/>
                <w:szCs w:val="21"/>
              </w:rPr>
            </w:pPr>
            <w:r>
              <w:rPr>
                <w:rFonts w:hint="eastAsia" w:asciiTheme="minorEastAsia" w:hAnsiTheme="minorEastAsia" w:eastAsiaTheme="minorEastAsia" w:cstheme="minorEastAsia"/>
                <w:color w:val="000000"/>
                <w:spacing w:val="-6"/>
                <w:sz w:val="21"/>
                <w:szCs w:val="21"/>
              </w:rPr>
              <w:t>3分</w:t>
            </w: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7"/>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7"/>
              <w:rPr>
                <w:rFonts w:hint="eastAsia" w:asciiTheme="minorEastAsia" w:hAnsiTheme="minorEastAsia" w:eastAsiaTheme="minorEastAsia" w:cstheme="minorEastAsia"/>
                <w:color w:val="000000"/>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安全巡逻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pacing w:val="-6"/>
                <w:sz w:val="24"/>
              </w:rPr>
              <w:t>8分</w:t>
            </w: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1、重点部位巡点达到次数   </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6"/>
                <w:sz w:val="21"/>
                <w:szCs w:val="21"/>
              </w:rPr>
            </w:pPr>
            <w:r>
              <w:rPr>
                <w:rFonts w:hint="eastAsia" w:asciiTheme="minorEastAsia" w:hAnsiTheme="minorEastAsia" w:eastAsiaTheme="minorEastAsia" w:cstheme="minorEastAsia"/>
                <w:color w:val="000000"/>
                <w:spacing w:val="-6"/>
                <w:sz w:val="21"/>
                <w:szCs w:val="21"/>
              </w:rPr>
              <w:t>4分</w:t>
            </w: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2、发现问题及时汇报</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6"/>
                <w:sz w:val="21"/>
                <w:szCs w:val="21"/>
              </w:rPr>
            </w:pPr>
            <w:r>
              <w:rPr>
                <w:rFonts w:hint="eastAsia" w:asciiTheme="minorEastAsia" w:hAnsiTheme="minorEastAsia" w:eastAsiaTheme="minorEastAsia" w:cstheme="minorEastAsia"/>
                <w:color w:val="000000"/>
                <w:spacing w:val="-6"/>
                <w:sz w:val="21"/>
                <w:szCs w:val="21"/>
              </w:rPr>
              <w:t>4分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车辆管理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6分</w:t>
            </w: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pacing w:val="-10"/>
                <w:sz w:val="21"/>
                <w:szCs w:val="21"/>
              </w:rPr>
              <w:t>指挥车辆无发生堵塞</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6"/>
                <w:sz w:val="21"/>
                <w:szCs w:val="21"/>
              </w:rPr>
              <w:t>3分</w:t>
            </w:r>
          </w:p>
        </w:tc>
        <w:tc>
          <w:tcPr>
            <w:tcW w:w="722" w:type="dxa"/>
            <w:vMerge w:val="restart"/>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2、车辆乱停放及时阻止</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6"/>
                <w:sz w:val="21"/>
                <w:szCs w:val="21"/>
              </w:rPr>
            </w:pPr>
            <w:r>
              <w:rPr>
                <w:rFonts w:hint="eastAsia" w:asciiTheme="minorEastAsia" w:hAnsiTheme="minorEastAsia" w:eastAsiaTheme="minorEastAsia" w:cstheme="minorEastAsia"/>
                <w:color w:val="000000"/>
                <w:spacing w:val="-6"/>
                <w:sz w:val="21"/>
                <w:szCs w:val="21"/>
              </w:rPr>
              <w:t>3分</w:t>
            </w: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消防管理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11"/>
                <w:szCs w:val="21"/>
              </w:rPr>
            </w:pPr>
            <w:r>
              <w:rPr>
                <w:rFonts w:hint="eastAsia" w:asciiTheme="minorEastAsia" w:hAnsiTheme="minorEastAsia" w:eastAsiaTheme="minorEastAsia" w:cstheme="minorEastAsia"/>
                <w:szCs w:val="21"/>
              </w:rPr>
              <w:t xml:space="preserve">1、责任区内定期进行消防巡查  </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color w:val="000000"/>
                <w:spacing w:val="-6"/>
                <w:sz w:val="21"/>
                <w:szCs w:val="21"/>
              </w:rPr>
              <w:t>5分</w:t>
            </w: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1"/>
                <w:sz w:val="21"/>
                <w:szCs w:val="21"/>
              </w:rPr>
              <w:t xml:space="preserve"> </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color w:val="000000"/>
                <w:spacing w:val="-11"/>
                <w:sz w:val="21"/>
                <w:szCs w:val="21"/>
              </w:rPr>
              <w:t xml:space="preserve">发现问题及时报告    </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color w:val="000000"/>
                <w:spacing w:val="-6"/>
                <w:sz w:val="21"/>
                <w:szCs w:val="21"/>
              </w:rPr>
              <w:t>4分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6"/>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6"/>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 xml:space="preserve">3、掌握消防操作技能        </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6"/>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spacing w:val="-6"/>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交接班记录、清楚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规范完整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9分</w:t>
            </w: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1、日常记录清楚、规范</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3分</w:t>
            </w:r>
          </w:p>
        </w:tc>
        <w:tc>
          <w:tcPr>
            <w:tcW w:w="72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722"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1627" w:type="dxa"/>
            <w:vMerge w:val="continue"/>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240" w:firstLineChars="1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2、按时上交巡查记录</w:t>
            </w:r>
          </w:p>
        </w:tc>
        <w:tc>
          <w:tcPr>
            <w:tcW w:w="73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6"/>
                <w:szCs w:val="21"/>
              </w:rPr>
              <w:t>3分</w:t>
            </w: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1627" w:type="dxa"/>
            <w:vMerge w:val="continue"/>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240" w:firstLineChars="100"/>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3、交接班记录</w:t>
            </w:r>
            <w:r>
              <w:rPr>
                <w:rFonts w:hint="eastAsia" w:asciiTheme="minorEastAsia" w:hAnsiTheme="minorEastAsia" w:eastAsiaTheme="minorEastAsia" w:cstheme="minorEastAsia"/>
                <w:color w:val="000000"/>
                <w:spacing w:val="-10"/>
                <w:szCs w:val="21"/>
              </w:rPr>
              <w:t>完整</w:t>
            </w:r>
          </w:p>
        </w:tc>
        <w:tc>
          <w:tcPr>
            <w:tcW w:w="73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pacing w:val="-6"/>
                <w:szCs w:val="21"/>
              </w:rPr>
              <w:t>3分</w:t>
            </w: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72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rPr>
            </w:pPr>
          </w:p>
        </w:tc>
        <w:tc>
          <w:tcPr>
            <w:tcW w:w="1627" w:type="dxa"/>
            <w:vMerge w:val="continue"/>
            <w:noWrap w:val="0"/>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33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团结、互助求上进</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12分</w:t>
            </w:r>
          </w:p>
        </w:tc>
        <w:tc>
          <w:tcPr>
            <w:tcW w:w="3361" w:type="dxa"/>
            <w:gridSpan w:val="2"/>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1、服从工作分配及指令</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3分</w:t>
            </w: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11"/>
                <w:sz w:val="21"/>
                <w:szCs w:val="21"/>
              </w:rPr>
              <w:t>相互协调配合良好</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3、完成上级临时任务</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10"/>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color w:val="000000"/>
                <w:spacing w:val="-10"/>
                <w:sz w:val="21"/>
                <w:szCs w:val="21"/>
              </w:rPr>
              <w:t xml:space="preserve">与他人矛盾影响工作         </w:t>
            </w:r>
          </w:p>
        </w:tc>
        <w:tc>
          <w:tcPr>
            <w:tcW w:w="736" w:type="dxa"/>
            <w:noWrap w:val="0"/>
            <w:vAlign w:val="center"/>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sz w:val="21"/>
                <w:szCs w:val="21"/>
              </w:rPr>
              <w:t>3分</w:t>
            </w: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4"/>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331" w:type="dxa"/>
            <w:gridSpan w:val="2"/>
            <w:vMerge w:val="restart"/>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rPr>
              <w:t>廉洁奉公</w:t>
            </w:r>
          </w:p>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color w:val="000000"/>
                <w:spacing w:val="-6"/>
              </w:rPr>
            </w:pPr>
            <w:r>
              <w:rPr>
                <w:rFonts w:hint="eastAsia" w:asciiTheme="minorEastAsia" w:hAnsiTheme="minorEastAsia" w:eastAsiaTheme="minorEastAsia" w:cstheme="minorEastAsia"/>
              </w:rPr>
              <w:t>爱护公物</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color w:val="000000"/>
                <w:spacing w:val="-13"/>
              </w:rPr>
            </w:pPr>
            <w:r>
              <w:rPr>
                <w:rFonts w:hint="eastAsia" w:asciiTheme="minorEastAsia" w:hAnsiTheme="minorEastAsia" w:eastAsiaTheme="minorEastAsia" w:cstheme="minorEastAsia"/>
              </w:rPr>
              <w:t>遵守公德</w:t>
            </w:r>
          </w:p>
          <w:p>
            <w:pPr>
              <w:keepNext w:val="0"/>
              <w:keepLines w:val="0"/>
              <w:pageBreakBefore w:val="0"/>
              <w:kinsoku/>
              <w:wordWrap/>
              <w:overflowPunct/>
              <w:topLinePunct w:val="0"/>
              <w:autoSpaceDE/>
              <w:autoSpaceDN/>
              <w:bidi w:val="0"/>
              <w:adjustRightInd/>
              <w:snapToGrid/>
              <w:spacing w:line="300" w:lineRule="exact"/>
              <w:ind w:firstLine="880" w:firstLineChars="4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pacing w:val="-10"/>
                <w:sz w:val="24"/>
              </w:rPr>
              <w:t>12分</w:t>
            </w: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color w:val="000000"/>
                <w:spacing w:val="-11"/>
                <w:sz w:val="21"/>
                <w:szCs w:val="21"/>
              </w:rPr>
              <w:t>1、拾获物品及时上交</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3分</w:t>
            </w:r>
          </w:p>
        </w:tc>
        <w:tc>
          <w:tcPr>
            <w:tcW w:w="722" w:type="dxa"/>
            <w:vMerge w:val="restart"/>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restart"/>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pacing w:val="-6"/>
              </w:rPr>
            </w:pPr>
          </w:p>
        </w:tc>
        <w:tc>
          <w:tcPr>
            <w:tcW w:w="3361" w:type="dxa"/>
            <w:gridSpan w:val="2"/>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2、上班时间不办私事</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3分</w:t>
            </w: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pacing w:val="-6"/>
              </w:rPr>
            </w:pP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000000"/>
                <w:spacing w:val="-10"/>
                <w:sz w:val="21"/>
                <w:szCs w:val="21"/>
              </w:rPr>
              <w:t>聊天、零食、玩手机</w:t>
            </w:r>
          </w:p>
        </w:tc>
        <w:tc>
          <w:tcPr>
            <w:tcW w:w="736" w:type="dxa"/>
            <w:noWrap w:val="0"/>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3分</w:t>
            </w: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rPr>
            </w:pPr>
          </w:p>
        </w:tc>
        <w:tc>
          <w:tcPr>
            <w:tcW w:w="2331" w:type="dxa"/>
            <w:gridSpan w:val="2"/>
            <w:vMerge w:val="continue"/>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heme="minorEastAsia" w:hAnsiTheme="minorEastAsia" w:eastAsiaTheme="minorEastAsia" w:cstheme="minorEastAsia"/>
                <w:spacing w:val="-6"/>
              </w:rPr>
            </w:pPr>
          </w:p>
        </w:tc>
        <w:tc>
          <w:tcPr>
            <w:tcW w:w="3361" w:type="dxa"/>
            <w:gridSpan w:val="2"/>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1"/>
                <w:sz w:val="21"/>
                <w:szCs w:val="21"/>
              </w:rPr>
            </w:pPr>
            <w:r>
              <w:rPr>
                <w:rFonts w:hint="eastAsia" w:asciiTheme="minorEastAsia" w:hAnsiTheme="minorEastAsia" w:eastAsiaTheme="minorEastAsia" w:cstheme="minorEastAsia"/>
                <w:sz w:val="21"/>
                <w:szCs w:val="21"/>
              </w:rPr>
              <w:t>4、工作岗位凌乱不整洁</w:t>
            </w:r>
          </w:p>
        </w:tc>
        <w:tc>
          <w:tcPr>
            <w:tcW w:w="736" w:type="dxa"/>
            <w:noWrap w:val="0"/>
            <w:vAlign w:val="center"/>
          </w:tcPr>
          <w:p>
            <w:pPr>
              <w:pStyle w:val="18"/>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spacing w:val="-10"/>
                <w:sz w:val="21"/>
                <w:szCs w:val="21"/>
              </w:rPr>
            </w:pPr>
            <w:r>
              <w:rPr>
                <w:rFonts w:hint="eastAsia" w:asciiTheme="minorEastAsia" w:hAnsiTheme="minorEastAsia" w:eastAsiaTheme="minorEastAsia" w:cstheme="minorEastAsia"/>
                <w:color w:val="000000"/>
                <w:spacing w:val="-10"/>
                <w:sz w:val="21"/>
                <w:szCs w:val="21"/>
              </w:rPr>
              <w:t>3分</w:t>
            </w: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722" w:type="dxa"/>
            <w:vMerge w:val="continue"/>
            <w:noWrap w:val="0"/>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1627" w:type="dxa"/>
            <w:vMerge w:val="continue"/>
            <w:noWrap w:val="0"/>
            <w:vAlign w:val="center"/>
          </w:tcPr>
          <w:p>
            <w:pPr>
              <w:pStyle w:val="18"/>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39" w:type="dxa"/>
            <w:gridSpan w:val="2"/>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rPr>
              <w:t>总分</w:t>
            </w:r>
          </w:p>
        </w:tc>
        <w:tc>
          <w:tcPr>
            <w:tcW w:w="1533" w:type="dxa"/>
            <w:noWrap w:val="0"/>
            <w:vAlign w:val="center"/>
          </w:tcPr>
          <w:p>
            <w:pPr>
              <w:pStyle w:val="15"/>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6"/>
              </w:rPr>
            </w:pPr>
          </w:p>
        </w:tc>
        <w:tc>
          <w:tcPr>
            <w:tcW w:w="1749" w:type="dxa"/>
            <w:noWrap w:val="0"/>
            <w:vAlign w:val="center"/>
          </w:tcPr>
          <w:p>
            <w:pPr>
              <w:pStyle w:val="15"/>
              <w:keepNext w:val="0"/>
              <w:keepLines w:val="0"/>
              <w:pageBreakBefore w:val="0"/>
              <w:kinsoku/>
              <w:wordWrap/>
              <w:overflowPunct/>
              <w:topLinePunct w:val="0"/>
              <w:autoSpaceDE/>
              <w:autoSpaceDN/>
              <w:bidi w:val="0"/>
              <w:adjustRightInd/>
              <w:snapToGrid/>
              <w:spacing w:line="300" w:lineRule="exact"/>
              <w:ind w:firstLine="228"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考核人签名</w:t>
            </w:r>
          </w:p>
        </w:tc>
        <w:tc>
          <w:tcPr>
            <w:tcW w:w="1612" w:type="dxa"/>
            <w:noWrap w:val="0"/>
            <w:vAlign w:val="center"/>
          </w:tcPr>
          <w:p>
            <w:pPr>
              <w:pStyle w:val="15"/>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p>
        </w:tc>
        <w:tc>
          <w:tcPr>
            <w:tcW w:w="2180" w:type="dxa"/>
            <w:gridSpan w:val="3"/>
            <w:noWrap w:val="0"/>
            <w:vAlign w:val="center"/>
          </w:tcPr>
          <w:p>
            <w:pPr>
              <w:pStyle w:val="15"/>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主管负责人签名</w:t>
            </w:r>
          </w:p>
        </w:tc>
        <w:tc>
          <w:tcPr>
            <w:tcW w:w="1627"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rPr>
            </w:pPr>
          </w:p>
        </w:tc>
      </w:tr>
    </w:tbl>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Theme="minorEastAsia" w:hAnsiTheme="minorEastAsia" w:eastAsiaTheme="minorEastAsia" w:cstheme="minorEastAsia"/>
          <w:sz w:val="21"/>
          <w:szCs w:val="21"/>
          <w:lang w:val="en-US" w:eastAsia="zh-CN"/>
        </w:rPr>
      </w:pPr>
    </w:p>
    <w:p>
      <w:pPr>
        <w:pStyle w:val="3"/>
        <w:numPr>
          <w:ilvl w:val="0"/>
          <w:numId w:val="0"/>
        </w:numPr>
        <w:spacing w:before="43"/>
        <w:ind w:right="0" w:rightChars="0"/>
      </w:pPr>
    </w:p>
    <w:p>
      <w:pPr>
        <w:pStyle w:val="3"/>
        <w:rPr>
          <w:sz w:val="20"/>
        </w:rPr>
      </w:pPr>
    </w:p>
    <w:p>
      <w:pPr>
        <w:pStyle w:val="3"/>
        <w:rPr>
          <w:sz w:val="20"/>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right="0"/>
        <w:jc w:val="left"/>
        <w:rPr>
          <w:sz w:val="2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附件2：医院考核表</w:t>
      </w:r>
    </w:p>
    <w:p>
      <w:pPr>
        <w:pStyle w:val="2"/>
        <w:rPr>
          <w:rFonts w:hint="eastAsia"/>
          <w:lang w:val="en-US" w:eastAsia="zh-CN"/>
        </w:rPr>
      </w:pPr>
    </w:p>
    <w:tbl>
      <w:tblPr>
        <w:tblStyle w:val="7"/>
        <w:tblW w:w="10236" w:type="dxa"/>
        <w:tblInd w:w="0" w:type="dxa"/>
        <w:shd w:val="clear" w:color="auto" w:fill="auto"/>
        <w:tblLayout w:type="fixed"/>
        <w:tblCellMar>
          <w:top w:w="0" w:type="dxa"/>
          <w:left w:w="0" w:type="dxa"/>
          <w:bottom w:w="0" w:type="dxa"/>
          <w:right w:w="0" w:type="dxa"/>
        </w:tblCellMar>
      </w:tblPr>
      <w:tblGrid>
        <w:gridCol w:w="547"/>
        <w:gridCol w:w="5454"/>
        <w:gridCol w:w="583"/>
        <w:gridCol w:w="3028"/>
        <w:gridCol w:w="624"/>
      </w:tblGrid>
      <w:tr>
        <w:tblPrEx>
          <w:shd w:val="clear" w:color="auto" w:fill="auto"/>
          <w:tblCellMar>
            <w:top w:w="0" w:type="dxa"/>
            <w:left w:w="0" w:type="dxa"/>
            <w:bottom w:w="0" w:type="dxa"/>
            <w:right w:w="0" w:type="dxa"/>
          </w:tblCellMar>
        </w:tblPrEx>
        <w:trPr>
          <w:trHeight w:val="535" w:hRule="atLeast"/>
        </w:trPr>
        <w:tc>
          <w:tcPr>
            <w:tcW w:w="10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32"/>
                <w:szCs w:val="32"/>
                <w:u w:val="none"/>
                <w:lang w:val="en-US" w:eastAsia="zh-CN" w:bidi="ar"/>
              </w:rPr>
              <w:t>安保消防工作督查表</w:t>
            </w:r>
          </w:p>
        </w:tc>
      </w:tr>
      <w:tr>
        <w:tblPrEx>
          <w:tblCellMar>
            <w:top w:w="0" w:type="dxa"/>
            <w:left w:w="0" w:type="dxa"/>
            <w:bottom w:w="0" w:type="dxa"/>
            <w:right w:w="0" w:type="dxa"/>
          </w:tblCellMar>
        </w:tblPrEx>
        <w:trPr>
          <w:trHeight w:val="52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内       容</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分值</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 xml:space="preserve"> 检查情况 </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得分</w:t>
            </w: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仪表仪容端正，文明用语，主动服务；服从工作分配；工作岗位整洁、不从事无关工作；服务质量良好无投诉；重点部位巡点达到次数，发现问题及时汇报；值班记录完整规范。</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人员配备方案合理，应急替代方案齐全，岗位职责明确相关人员知晓并履行规章制度、岗位职责。</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6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有措施，各相关部门工作落到实处；全院安全保卫部署方案和管理制度完善，有医务人员工作场所暴力防范相关制度和保障措施并落到实处。</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5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有消防安全管理措施和管理人员岗位职责，院科两级消防安全职责管理落实到人，每班人员有火灾时的应急分工和明确职责，相关人员知晓。</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有消防安全管理制度、培训制度和应急预案；有年度、季节性、专项检查等，每年至少进行一次消防安全重点部门的消防演练，每月至少组织一次消防安全检查，并有记录。</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照国家标准设置火灾探测报警系统及灭火系统，实现早期火灾探测和初起火灾扑救，定期检查、测试和维护消防系统；消防通道通畅，疏散标识和防火器材（灭火器、消防栓等）完好；重点部门、重要部位防范有监管，有记录。</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7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7</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至少每年一次进行全院职工的消防安全教育，包括报警、初起火灾处理程序和方法，灭火器材使用，自救、互救和逃生，按照预案疏散患者等相关知识。</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70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科室、部门对消防通道、疏散标识、员工消防知识和技能、防火器材等有自查，且责任到人。</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对院内基建维修等施工项目消防安全监管符合要求。</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61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全院安全设备与设施清单齐全、配置合理、功能正常，能满足要求。</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重点环境、重点部位（如财务、仓库、厨房、医疗废物和废液处置暂存点、档案室、计算机中心、新生儿室、麻醉药品库房、重要设备等）视频监控设施完善。</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视频监控室符合相关标准，有管理制度并执行，有完整的监管记录和维护记录。</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63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视频监控系统符合公安部《视频安防监控系统技术要求》。</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45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视频监控系统出现故障时，维护能在1小时内现场响应。</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8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有视频监控资源使用制度与程序并落到实处。</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5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有视频监控资源使用审批和使用记录。</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0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进行24小时图像记录，保存时间≥30天。</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599"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系统应具有时间与日期的显示、记录和调整功能，时间误差≤30 秒。</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有专人负责，有司梯人员岗位职责和操作规范、上岗证，有培训及“三级安全教育卡”。</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8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电梯机房有醒目标识，并有24小时应急机制。</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88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电梯机房有日常运行检查、定期维护、维修、保养记录；按规定定期检测，并按相关要求张贴检测标签；年检合格，并公示年检标签。</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65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有明确的故障报修、处理流程和夜间与节假日出现故障时的联系维修方式，并得到有效处理。</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7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有电梯故障应急预案，并组织演练。</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84"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5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有电梯清单和档案资料。</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90" w:hRule="atLeast"/>
        </w:trPr>
        <w:tc>
          <w:tcPr>
            <w:tcW w:w="6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合 计</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525" w:hRule="atLeast"/>
        </w:trPr>
        <w:tc>
          <w:tcPr>
            <w:tcW w:w="10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sz w:val="24"/>
                <w:lang w:eastAsia="zh-CN"/>
              </w:rPr>
              <w:t>检查人：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检查</w:t>
            </w: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lang w:val="en-US" w:eastAsia="zh-CN"/>
              </w:rPr>
              <w:t xml:space="preserve">                                     </w:t>
            </w:r>
          </w:p>
        </w:tc>
      </w:tr>
    </w:tbl>
    <w:p>
      <w:pPr>
        <w:spacing w:before="97"/>
        <w:ind w:right="0"/>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附件3：满意度测评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cstheme="minorEastAsia"/>
          <w:sz w:val="21"/>
          <w:szCs w:val="21"/>
          <w:lang w:eastAsia="zh-CN"/>
        </w:rPr>
        <w:t>测评方式</w:t>
      </w:r>
      <w:r>
        <w:rPr>
          <w:rFonts w:hint="eastAsia" w:asciiTheme="minorEastAsia" w:hAnsiTheme="minorEastAsia" w:eastAsiaTheme="minorEastAsia" w:cstheme="minorEastAsia"/>
          <w:sz w:val="21"/>
          <w:szCs w:val="21"/>
          <w:lang w:eastAsia="zh-CN"/>
        </w:rPr>
        <w:t>：由</w:t>
      </w:r>
      <w:r>
        <w:rPr>
          <w:rFonts w:hint="eastAsia" w:asciiTheme="minorEastAsia" w:hAnsiTheme="minorEastAsia" w:cstheme="minorEastAsia"/>
          <w:sz w:val="21"/>
          <w:szCs w:val="21"/>
          <w:lang w:eastAsia="zh-CN"/>
        </w:rPr>
        <w:t>后勤保障中心</w:t>
      </w:r>
      <w:r>
        <w:rPr>
          <w:rFonts w:hint="eastAsia" w:asciiTheme="minorEastAsia" w:hAnsiTheme="minorEastAsia" w:eastAsiaTheme="minorEastAsia" w:cstheme="minorEastAsia"/>
          <w:sz w:val="21"/>
          <w:szCs w:val="21"/>
          <w:lang w:eastAsia="zh-CN"/>
        </w:rPr>
        <w:t>通过网络或其他测评方法</w:t>
      </w:r>
      <w:r>
        <w:rPr>
          <w:rFonts w:hint="eastAsia" w:asciiTheme="minorEastAsia" w:hAnsiTheme="minorEastAsia" w:cstheme="minorEastAsia"/>
          <w:sz w:val="21"/>
          <w:szCs w:val="21"/>
          <w:lang w:eastAsia="zh-CN"/>
        </w:rPr>
        <w:t>对医院员工</w:t>
      </w:r>
      <w:r>
        <w:rPr>
          <w:rFonts w:hint="eastAsia" w:asciiTheme="minorEastAsia" w:hAnsiTheme="minorEastAsia" w:eastAsiaTheme="minorEastAsia" w:cstheme="minorEastAsia"/>
          <w:sz w:val="21"/>
          <w:szCs w:val="21"/>
          <w:lang w:eastAsia="zh-CN"/>
        </w:rPr>
        <w:t>展开。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二、测评内容：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jc w:val="both"/>
        <w:textAlignment w:val="auto"/>
        <w:rPr>
          <w:rFonts w:hint="eastAsia" w:asciiTheme="minorEastAsia" w:hAnsiTheme="minorEastAsia" w:cstheme="minorEastAsia"/>
          <w:b w:val="0"/>
          <w:color w:val="000000"/>
          <w:sz w:val="21"/>
          <w:szCs w:val="21"/>
          <w:lang w:val="en-US" w:eastAsia="zh-CN"/>
        </w:rPr>
      </w:pPr>
      <w:r>
        <w:rPr>
          <w:rFonts w:hint="eastAsia" w:asciiTheme="minorEastAsia" w:hAnsiTheme="minorEastAsia" w:eastAsiaTheme="minorEastAsia" w:cstheme="minorEastAsia"/>
          <w:color w:val="auto"/>
          <w:sz w:val="21"/>
          <w:szCs w:val="21"/>
          <w:lang w:val="en-US" w:eastAsia="zh-CN"/>
        </w:rPr>
        <w:t>后勤保障中心网络测评内容（医院员工）：分满意、较满意、一般、不满意四档。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color w:val="000000"/>
          <w:sz w:val="21"/>
          <w:szCs w:val="21"/>
          <w:lang w:eastAsia="zh-CN"/>
        </w:rPr>
      </w:pPr>
      <w:r>
        <w:rPr>
          <w:rFonts w:hint="eastAsia" w:asciiTheme="minorEastAsia" w:hAnsiTheme="minorEastAsia" w:cstheme="minorEastAsia"/>
          <w:b w:val="0"/>
          <w:color w:val="000000"/>
          <w:sz w:val="21"/>
          <w:szCs w:val="21"/>
          <w:lang w:val="en-US" w:eastAsia="zh-CN"/>
        </w:rPr>
        <w:t>1.</w:t>
      </w:r>
      <w:r>
        <w:rPr>
          <w:rFonts w:hint="eastAsia" w:asciiTheme="minorEastAsia" w:hAnsiTheme="minorEastAsia" w:eastAsiaTheme="minorEastAsia" w:cstheme="minorEastAsia"/>
          <w:b w:val="0"/>
          <w:color w:val="000000"/>
          <w:sz w:val="21"/>
          <w:szCs w:val="21"/>
        </w:rPr>
        <w:t>保安人员的仪容仪表是否满意(衣冠端正、精神饱满)</w:t>
      </w:r>
      <w:r>
        <w:rPr>
          <w:rFonts w:hint="eastAsia" w:asciiTheme="minorEastAsia" w:hAnsiTheme="minorEastAsia" w:cstheme="minorEastAsia"/>
          <w:b w:val="0"/>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color w:val="000000"/>
          <w:sz w:val="21"/>
          <w:szCs w:val="21"/>
          <w:lang w:eastAsia="zh-CN"/>
        </w:rPr>
      </w:pPr>
      <w:r>
        <w:rPr>
          <w:rFonts w:hint="eastAsia" w:asciiTheme="minorEastAsia" w:hAnsiTheme="minorEastAsia" w:cstheme="minorEastAsia"/>
          <w:b w:val="0"/>
          <w:color w:val="000000"/>
          <w:sz w:val="21"/>
          <w:szCs w:val="21"/>
          <w:lang w:val="en-US" w:eastAsia="zh-CN"/>
        </w:rPr>
        <w:t>2.</w:t>
      </w:r>
      <w:r>
        <w:rPr>
          <w:rFonts w:hint="eastAsia" w:asciiTheme="minorEastAsia" w:hAnsiTheme="minorEastAsia" w:eastAsiaTheme="minorEastAsia" w:cstheme="minorEastAsia"/>
          <w:b w:val="0"/>
          <w:color w:val="000000"/>
          <w:sz w:val="21"/>
          <w:szCs w:val="21"/>
        </w:rPr>
        <w:t>安保人员的服务意识、沟通情况是否满意</w:t>
      </w:r>
      <w:r>
        <w:rPr>
          <w:rFonts w:hint="eastAsia" w:asciiTheme="minorEastAsia" w:hAnsiTheme="minorEastAsia" w:cstheme="minorEastAsia"/>
          <w:b w:val="0"/>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color w:val="000000"/>
          <w:sz w:val="21"/>
          <w:szCs w:val="21"/>
          <w:lang w:eastAsia="zh-CN"/>
        </w:rPr>
      </w:pPr>
      <w:r>
        <w:rPr>
          <w:rFonts w:hint="eastAsia" w:asciiTheme="minorEastAsia" w:hAnsiTheme="minorEastAsia" w:cstheme="minorEastAsia"/>
          <w:b w:val="0"/>
          <w:color w:val="000000"/>
          <w:sz w:val="21"/>
          <w:szCs w:val="21"/>
          <w:lang w:val="en-US" w:eastAsia="zh-CN"/>
        </w:rPr>
        <w:t>3.</w:t>
      </w:r>
      <w:r>
        <w:rPr>
          <w:rFonts w:hint="eastAsia" w:asciiTheme="minorEastAsia" w:hAnsiTheme="minorEastAsia" w:eastAsiaTheme="minorEastAsia" w:cstheme="minorEastAsia"/>
          <w:b w:val="0"/>
          <w:color w:val="000000"/>
          <w:sz w:val="21"/>
          <w:szCs w:val="21"/>
        </w:rPr>
        <w:t>需要应急处理时，安保人员是否能够随叫随到</w:t>
      </w:r>
      <w:r>
        <w:rPr>
          <w:rFonts w:hint="eastAsia" w:asciiTheme="minorEastAsia" w:hAnsiTheme="minorEastAsia" w:cstheme="minorEastAsia"/>
          <w:b w:val="0"/>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color w:val="000000"/>
          <w:sz w:val="21"/>
          <w:szCs w:val="21"/>
          <w:lang w:eastAsia="zh-CN"/>
        </w:rPr>
      </w:pPr>
      <w:r>
        <w:rPr>
          <w:rFonts w:hint="eastAsia" w:asciiTheme="minorEastAsia" w:hAnsiTheme="minorEastAsia" w:cstheme="minorEastAsia"/>
          <w:b w:val="0"/>
          <w:color w:val="000000"/>
          <w:sz w:val="21"/>
          <w:szCs w:val="21"/>
          <w:lang w:val="en-US" w:eastAsia="zh-CN"/>
        </w:rPr>
        <w:t>4.</w:t>
      </w:r>
      <w:r>
        <w:rPr>
          <w:rFonts w:hint="eastAsia" w:asciiTheme="minorEastAsia" w:hAnsiTheme="minorEastAsia" w:eastAsiaTheme="minorEastAsia" w:cstheme="minorEastAsia"/>
          <w:b w:val="0"/>
          <w:color w:val="000000"/>
          <w:sz w:val="21"/>
          <w:szCs w:val="21"/>
        </w:rPr>
        <w:t>安保人员是否经常进行巡查</w:t>
      </w:r>
      <w:r>
        <w:rPr>
          <w:rFonts w:hint="eastAsia" w:asciiTheme="minorEastAsia" w:hAnsiTheme="minorEastAsia" w:cstheme="minorEastAsia"/>
          <w:b w:val="0"/>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color w:val="000000"/>
          <w:sz w:val="21"/>
          <w:szCs w:val="21"/>
          <w:lang w:eastAsia="zh-CN"/>
        </w:rPr>
      </w:pPr>
      <w:r>
        <w:rPr>
          <w:rFonts w:hint="eastAsia" w:asciiTheme="minorEastAsia" w:hAnsiTheme="minorEastAsia" w:cstheme="minorEastAsia"/>
          <w:b w:val="0"/>
          <w:color w:val="000000"/>
          <w:sz w:val="21"/>
          <w:szCs w:val="21"/>
          <w:lang w:val="en-US" w:eastAsia="zh-CN"/>
        </w:rPr>
        <w:t>5.</w:t>
      </w:r>
      <w:r>
        <w:rPr>
          <w:rFonts w:hint="eastAsia" w:asciiTheme="minorEastAsia" w:hAnsiTheme="minorEastAsia" w:eastAsiaTheme="minorEastAsia" w:cstheme="minorEastAsia"/>
          <w:b w:val="0"/>
          <w:color w:val="000000"/>
          <w:sz w:val="21"/>
          <w:szCs w:val="21"/>
        </w:rPr>
        <w:t>您对安保整体工作是否满意</w:t>
      </w:r>
      <w:r>
        <w:rPr>
          <w:rFonts w:hint="eastAsia" w:asciiTheme="minorEastAsia" w:hAnsiTheme="minorEastAsia" w:cstheme="minorEastAsia"/>
          <w:b w:val="0"/>
          <w:color w:val="000000"/>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jc w:val="both"/>
        <w:textAlignment w:val="auto"/>
        <w:rPr>
          <w:rFonts w:hint="eastAsia" w:asciiTheme="minorEastAsia" w:hAnsiTheme="minorEastAsia" w:eastAsiaTheme="minorEastAsia" w:cstheme="minorEastAsia"/>
          <w:b w:val="0"/>
          <w:color w:val="auto"/>
          <w:sz w:val="21"/>
          <w:szCs w:val="21"/>
          <w:lang w:val="en-US" w:eastAsia="zh-CN"/>
        </w:rPr>
      </w:pPr>
      <w:r>
        <w:rPr>
          <w:rFonts w:hint="eastAsia" w:asciiTheme="minorEastAsia" w:hAnsiTheme="minorEastAsia" w:eastAsiaTheme="minorEastAsia" w:cstheme="minorEastAsia"/>
          <w:b w:val="0"/>
          <w:color w:val="auto"/>
          <w:sz w:val="21"/>
          <w:szCs w:val="21"/>
          <w:lang w:val="en-US" w:eastAsia="zh-CN"/>
        </w:rPr>
        <w:t>计分方法;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asciiTheme="minorEastAsia" w:hAnsiTheme="minorEastAsia" w:eastAsiaTheme="minorEastAsia" w:cstheme="minorEastAsia"/>
          <w:color w:val="auto"/>
          <w:sz w:val="21"/>
          <w:szCs w:val="21"/>
        </w:rPr>
        <w:t>医院</w:t>
      </w:r>
      <w:r>
        <w:rPr>
          <w:rFonts w:hint="eastAsia" w:asciiTheme="minorEastAsia" w:hAnsiTheme="minorEastAsia" w:eastAsiaTheme="minorEastAsia" w:cstheme="minorEastAsia"/>
          <w:color w:val="auto"/>
          <w:sz w:val="21"/>
          <w:szCs w:val="21"/>
          <w:lang w:eastAsia="zh-CN"/>
        </w:rPr>
        <w:t>保</w:t>
      </w:r>
      <w:r>
        <w:rPr>
          <w:rFonts w:hint="eastAsia" w:asciiTheme="minorEastAsia" w:hAnsiTheme="minorEastAsia" w:cstheme="minorEastAsia"/>
          <w:color w:val="auto"/>
          <w:sz w:val="21"/>
          <w:szCs w:val="21"/>
          <w:lang w:eastAsia="zh-CN"/>
        </w:rPr>
        <w:t>安</w:t>
      </w:r>
      <w:r>
        <w:rPr>
          <w:rFonts w:hint="eastAsia" w:asciiTheme="minorEastAsia" w:hAnsiTheme="minorEastAsia" w:eastAsiaTheme="minorEastAsia" w:cstheme="minorEastAsia"/>
          <w:color w:val="auto"/>
          <w:sz w:val="21"/>
          <w:szCs w:val="21"/>
          <w:lang w:eastAsia="zh-CN"/>
        </w:rPr>
        <w:t>服务满意度测评</w:t>
      </w:r>
      <w:r>
        <w:rPr>
          <w:rFonts w:hint="eastAsia" w:asciiTheme="minorEastAsia" w:hAnsiTheme="minorEastAsia" w:eastAsiaTheme="minorEastAsia" w:cstheme="minorEastAsia"/>
          <w:color w:val="auto"/>
          <w:sz w:val="21"/>
          <w:szCs w:val="21"/>
        </w:rPr>
        <w:t>基础分为100分，</w:t>
      </w:r>
      <w:r>
        <w:rPr>
          <w:rFonts w:hint="eastAsia" w:asciiTheme="minorEastAsia" w:hAnsiTheme="minorEastAsia" w:eastAsiaTheme="minorEastAsia" w:cstheme="minorEastAsia"/>
          <w:color w:val="auto"/>
          <w:sz w:val="21"/>
          <w:szCs w:val="21"/>
          <w:lang w:eastAsia="zh-CN"/>
        </w:rPr>
        <w:t>后勤保障中心</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lang w:eastAsia="zh-CN"/>
        </w:rPr>
        <w:t>网络</w:t>
      </w:r>
      <w:r>
        <w:rPr>
          <w:rFonts w:hint="eastAsia" w:asciiTheme="minorEastAsia" w:hAnsiTheme="minorEastAsia" w:eastAsiaTheme="minorEastAsia" w:cstheme="minorEastAsia"/>
          <w:b w:val="0"/>
          <w:color w:val="auto"/>
          <w:sz w:val="21"/>
          <w:szCs w:val="21"/>
          <w:lang w:val="en-US" w:eastAsia="zh-CN"/>
        </w:rPr>
        <w:t>测评内容中，“满意”、“较满意”合计比例的平均值为当月保</w:t>
      </w:r>
      <w:r>
        <w:rPr>
          <w:rFonts w:hint="eastAsia" w:asciiTheme="minorEastAsia" w:hAnsiTheme="minorEastAsia" w:cstheme="minorEastAsia"/>
          <w:b w:val="0"/>
          <w:color w:val="auto"/>
          <w:sz w:val="21"/>
          <w:szCs w:val="21"/>
          <w:lang w:val="en-US" w:eastAsia="zh-CN"/>
        </w:rPr>
        <w:t>安</w:t>
      </w:r>
      <w:r>
        <w:rPr>
          <w:rFonts w:hint="eastAsia" w:asciiTheme="minorEastAsia" w:hAnsiTheme="minorEastAsia" w:eastAsiaTheme="minorEastAsia" w:cstheme="minorEastAsia"/>
          <w:b w:val="0"/>
          <w:color w:val="auto"/>
          <w:sz w:val="21"/>
          <w:szCs w:val="21"/>
          <w:lang w:val="en-US" w:eastAsia="zh-CN"/>
        </w:rPr>
        <w:t>满意度测评的最终得分。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b/>
          <w:bCs/>
          <w:color w:val="auto"/>
          <w:sz w:val="21"/>
          <w:szCs w:val="21"/>
          <w:lang w:eastAsia="zh-CN"/>
        </w:rPr>
      </w:pPr>
      <w:r>
        <w:rPr>
          <w:rFonts w:hint="eastAsia" w:asciiTheme="minorEastAsia" w:hAnsiTheme="minorEastAsia" w:eastAsiaTheme="minorEastAsia" w:cstheme="minorEastAsia"/>
          <w:b/>
          <w:bCs/>
          <w:sz w:val="21"/>
          <w:szCs w:val="21"/>
          <w:lang w:val="en-US" w:eastAsia="zh-CN"/>
        </w:rPr>
        <w:t>附件</w:t>
      </w:r>
      <w:r>
        <w:rPr>
          <w:rFonts w:hint="eastAsia" w:asciiTheme="minorEastAsia" w:hAnsi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en-US" w:eastAsia="zh-CN"/>
        </w:rPr>
        <w:t>：</w:t>
      </w:r>
      <w:r>
        <w:rPr>
          <w:rFonts w:hint="eastAsia" w:asciiTheme="minorEastAsia" w:hAnsiTheme="minorEastAsia" w:eastAsiaTheme="minorEastAsia" w:cstheme="minorEastAsia"/>
          <w:b/>
          <w:bCs/>
          <w:color w:val="auto"/>
          <w:sz w:val="21"/>
          <w:szCs w:val="21"/>
        </w:rPr>
        <w:t>保</w:t>
      </w:r>
      <w:r>
        <w:rPr>
          <w:rFonts w:hint="eastAsia" w:asciiTheme="minorEastAsia" w:hAnsiTheme="minorEastAsia" w:eastAsiaTheme="minorEastAsia" w:cstheme="minorEastAsia"/>
          <w:b/>
          <w:bCs/>
          <w:color w:val="auto"/>
          <w:sz w:val="21"/>
          <w:szCs w:val="21"/>
          <w:lang w:eastAsia="zh-CN"/>
        </w:rPr>
        <w:t>安</w:t>
      </w:r>
      <w:r>
        <w:rPr>
          <w:rFonts w:hint="eastAsia" w:asciiTheme="minorEastAsia" w:hAnsiTheme="minorEastAsia" w:eastAsiaTheme="minorEastAsia" w:cstheme="minorEastAsia"/>
          <w:b/>
          <w:bCs/>
          <w:color w:val="auto"/>
          <w:sz w:val="21"/>
          <w:szCs w:val="21"/>
        </w:rPr>
        <w:t>服务管理质量考核</w:t>
      </w:r>
      <w:r>
        <w:rPr>
          <w:rFonts w:hint="eastAsia" w:asciiTheme="minorEastAsia" w:hAnsiTheme="minorEastAsia" w:cstheme="minorEastAsia"/>
          <w:b/>
          <w:bCs/>
          <w:color w:val="auto"/>
          <w:sz w:val="21"/>
          <w:szCs w:val="21"/>
          <w:lang w:eastAsia="zh-CN"/>
        </w:rPr>
        <w:t>情况汇总</w:t>
      </w:r>
    </w:p>
    <w:p>
      <w:pPr>
        <w:jc w:val="center"/>
        <w:rPr>
          <w:rFonts w:hint="eastAsia" w:asciiTheme="minorEastAsia" w:hAnsi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保</w:t>
      </w:r>
      <w:r>
        <w:rPr>
          <w:rFonts w:hint="eastAsia" w:asciiTheme="minorEastAsia" w:hAnsiTheme="minorEastAsia" w:eastAsiaTheme="minorEastAsia" w:cstheme="minorEastAsia"/>
          <w:b/>
          <w:bCs/>
          <w:color w:val="auto"/>
          <w:sz w:val="32"/>
          <w:szCs w:val="32"/>
          <w:lang w:eastAsia="zh-CN"/>
        </w:rPr>
        <w:t>安</w:t>
      </w:r>
      <w:r>
        <w:rPr>
          <w:rFonts w:hint="eastAsia" w:asciiTheme="minorEastAsia" w:hAnsiTheme="minorEastAsia" w:eastAsiaTheme="minorEastAsia" w:cstheme="minorEastAsia"/>
          <w:b/>
          <w:bCs/>
          <w:color w:val="auto"/>
          <w:sz w:val="32"/>
          <w:szCs w:val="32"/>
        </w:rPr>
        <w:t>服务管理质量考核</w:t>
      </w:r>
      <w:r>
        <w:rPr>
          <w:rFonts w:hint="eastAsia" w:asciiTheme="minorEastAsia" w:hAnsiTheme="minorEastAsia" w:cstheme="minorEastAsia"/>
          <w:b/>
          <w:bCs/>
          <w:color w:val="auto"/>
          <w:sz w:val="32"/>
          <w:szCs w:val="32"/>
          <w:lang w:eastAsia="zh-CN"/>
        </w:rPr>
        <w:t>情况汇总表</w:t>
      </w:r>
    </w:p>
    <w:p>
      <w:pPr>
        <w:jc w:val="lef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一、考核得分：</w:t>
      </w:r>
    </w:p>
    <w:tbl>
      <w:tblPr>
        <w:tblStyle w:val="8"/>
        <w:tblpPr w:leftFromText="180" w:rightFromText="180" w:vertAnchor="page" w:horzAnchor="page" w:tblpX="994" w:tblpY="6336"/>
        <w:tblOverlap w:val="never"/>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55"/>
        <w:gridCol w:w="1985"/>
        <w:gridCol w:w="1405"/>
        <w:gridCol w:w="1295"/>
        <w:gridCol w:w="147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75" w:type="dxa"/>
            <w:vAlign w:val="center"/>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年   月</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保卫部门考核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（60%）</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b/>
                <w:bCs/>
                <w:sz w:val="21"/>
                <w:szCs w:val="21"/>
                <w:lang w:val="en-US" w:eastAsia="zh-CN"/>
              </w:rPr>
              <w:t>后勤保障中心考核（20%）</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lang w:val="en-US" w:eastAsia="zh-CN"/>
              </w:rPr>
              <w:t>满意度测评（20%）</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rPr>
              <w:t>人员到位率</w:t>
            </w:r>
            <w:r>
              <w:rPr>
                <w:rFonts w:hint="eastAsia" w:asciiTheme="minorEastAsia" w:hAnsiTheme="minorEastAsia" w:cstheme="minorEastAsia"/>
                <w:b/>
                <w:bCs/>
                <w:sz w:val="21"/>
                <w:szCs w:val="21"/>
                <w:lang w:eastAsia="zh-CN"/>
              </w:rPr>
              <w:t>扣分</w:t>
            </w:r>
          </w:p>
        </w:tc>
        <w:tc>
          <w:tcPr>
            <w:tcW w:w="1470" w:type="dxa"/>
            <w:vAlign w:val="center"/>
          </w:tcPr>
          <w:p>
            <w:pPr>
              <w:spacing w:line="24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表扬或意见</w:t>
            </w:r>
          </w:p>
          <w:p>
            <w:pPr>
              <w:spacing w:line="24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加减分</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综合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75" w:type="dxa"/>
            <w:vAlign w:val="center"/>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p>
        </w:tc>
        <w:tc>
          <w:tcPr>
            <w:tcW w:w="155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985" w:type="dxa"/>
            <w:vAlign w:val="center"/>
          </w:tcPr>
          <w:p>
            <w:pPr>
              <w:spacing w:line="48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40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29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47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96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75" w:type="dxa"/>
            <w:vAlign w:val="center"/>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p>
        </w:tc>
        <w:tc>
          <w:tcPr>
            <w:tcW w:w="155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985" w:type="dxa"/>
            <w:vAlign w:val="center"/>
          </w:tcPr>
          <w:p>
            <w:pPr>
              <w:spacing w:line="48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40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29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47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96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75" w:type="dxa"/>
            <w:vAlign w:val="center"/>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p>
        </w:tc>
        <w:tc>
          <w:tcPr>
            <w:tcW w:w="155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985" w:type="dxa"/>
            <w:vAlign w:val="center"/>
          </w:tcPr>
          <w:p>
            <w:pPr>
              <w:spacing w:line="480" w:lineRule="auto"/>
              <w:jc w:val="center"/>
              <w:rPr>
                <w:rFonts w:hint="eastAsia" w:asciiTheme="minorEastAsia" w:hAnsiTheme="minorEastAsia" w:eastAsiaTheme="minorEastAsia" w:cstheme="minorEastAsia"/>
                <w:b w:val="0"/>
                <w:bCs w:val="0"/>
                <w:kern w:val="2"/>
                <w:sz w:val="21"/>
                <w:szCs w:val="21"/>
                <w:vertAlign w:val="baseline"/>
                <w:lang w:val="en-US" w:eastAsia="zh-CN" w:bidi="ar-SA"/>
              </w:rPr>
            </w:pPr>
          </w:p>
        </w:tc>
        <w:tc>
          <w:tcPr>
            <w:tcW w:w="140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295"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147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c>
          <w:tcPr>
            <w:tcW w:w="960" w:type="dxa"/>
            <w:vAlign w:val="center"/>
          </w:tcPr>
          <w:p>
            <w:pPr>
              <w:spacing w:line="480" w:lineRule="auto"/>
              <w:jc w:val="center"/>
              <w:rPr>
                <w:rFonts w:hint="eastAsia" w:asciiTheme="minorEastAsia" w:hAnsiTheme="minorEastAsia" w:eastAsiaTheme="minorEastAsia" w:cstheme="minorEastAsia"/>
                <w:b w:val="0"/>
                <w:bCs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70" w:firstLineChars="2700"/>
        <w:jc w:val="both"/>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8"/>
          <w:szCs w:val="28"/>
          <w:lang w:val="en-US" w:eastAsia="zh-CN"/>
        </w:rPr>
      </w:pPr>
    </w:p>
    <w:p>
      <w:pPr>
        <w:pStyle w:val="2"/>
        <w:rPr>
          <w:rFonts w:hint="eastAsia"/>
          <w:lang w:val="en-US" w:eastAsia="zh-CN"/>
        </w:rPr>
      </w:pPr>
    </w:p>
    <w:p>
      <w:pPr>
        <w:pStyle w:val="2"/>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二、其它扣款：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1.专项扣款：</w:t>
      </w:r>
    </w:p>
    <w:p>
      <w:pPr>
        <w:spacing w:before="97"/>
        <w:ind w:right="0"/>
        <w:jc w:val="left"/>
        <w:rPr>
          <w:sz w:val="22"/>
        </w:rPr>
      </w:pPr>
      <w:r>
        <w:rPr>
          <w:rFonts w:hint="eastAsia" w:asciiTheme="minorEastAsia" w:hAnsiTheme="minorEastAsia" w:eastAsiaTheme="minorEastAsia" w:cstheme="minorEastAsia"/>
          <w:b w:val="0"/>
          <w:bCs w:val="0"/>
          <w:sz w:val="21"/>
          <w:szCs w:val="21"/>
          <w:lang w:val="en-US" w:eastAsia="zh-CN"/>
        </w:rPr>
        <w:t>2.其它罚款：参考</w:t>
      </w:r>
      <w:r>
        <w:rPr>
          <w:sz w:val="22"/>
        </w:rPr>
        <w:t>杭州市临安区第一人民医院保安日常管理考核细则</w:t>
      </w:r>
    </w:p>
    <w:p>
      <w:pPr>
        <w:pStyle w:val="2"/>
        <w:rPr>
          <w:sz w:val="22"/>
        </w:rPr>
      </w:pPr>
    </w:p>
    <w:p>
      <w:pPr>
        <w:pStyle w:val="2"/>
        <w:rPr>
          <w:sz w:val="22"/>
        </w:rPr>
      </w:pPr>
    </w:p>
    <w:p>
      <w:pPr>
        <w:pStyle w:val="2"/>
        <w:rPr>
          <w:sz w:val="22"/>
        </w:rPr>
      </w:pPr>
    </w:p>
    <w:p>
      <w:pPr>
        <w:pStyle w:val="2"/>
        <w:rPr>
          <w:sz w:val="22"/>
        </w:rPr>
      </w:pPr>
    </w:p>
    <w:p>
      <w:pPr>
        <w:pStyle w:val="2"/>
        <w:rPr>
          <w:rFonts w:hint="eastAsia"/>
          <w:sz w:val="22"/>
          <w:lang w:val="en-US" w:eastAsia="zh-CN"/>
        </w:rPr>
      </w:pPr>
      <w:r>
        <w:rPr>
          <w:rFonts w:hint="eastAsia"/>
          <w:sz w:val="22"/>
          <w:lang w:val="en-US" w:eastAsia="zh-CN"/>
        </w:rPr>
        <w:t xml:space="preserve">                                                                                                                                                                                   保卫科</w:t>
      </w:r>
    </w:p>
    <w:p>
      <w:pPr>
        <w:pStyle w:val="2"/>
        <w:rPr>
          <w:rFonts w:hint="default"/>
          <w:sz w:val="22"/>
          <w:lang w:val="en-US" w:eastAsia="zh-CN"/>
        </w:rPr>
      </w:pPr>
      <w:r>
        <w:rPr>
          <w:rFonts w:hint="eastAsia"/>
          <w:sz w:val="22"/>
          <w:lang w:val="en-US" w:eastAsia="zh-CN"/>
        </w:rPr>
        <w:t xml:space="preserve">                                                                                                                                                                              年     月       日</w:t>
      </w:r>
    </w:p>
    <w:p>
      <w:pPr>
        <w:spacing w:before="97"/>
        <w:ind w:right="0"/>
        <w:jc w:val="left"/>
        <w:rPr>
          <w:rFonts w:hint="default"/>
          <w:sz w:val="22"/>
          <w:lang w:val="en-US"/>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p>
      <w:pPr>
        <w:spacing w:before="97"/>
        <w:ind w:left="3705" w:right="0" w:firstLine="0"/>
        <w:jc w:val="left"/>
        <w:rPr>
          <w:sz w:val="22"/>
        </w:rPr>
      </w:pPr>
    </w:p>
    <w:tbl>
      <w:tblPr>
        <w:tblStyle w:val="7"/>
        <w:tblpPr w:leftFromText="180" w:rightFromText="180" w:vertAnchor="text" w:horzAnchor="page" w:tblpX="171" w:tblpY="74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3712"/>
        <w:gridCol w:w="1208"/>
        <w:gridCol w:w="3060"/>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20" w:type="dxa"/>
          </w:tcPr>
          <w:p>
            <w:pPr>
              <w:pStyle w:val="12"/>
              <w:spacing w:before="2"/>
              <w:rPr>
                <w:sz w:val="22"/>
              </w:rPr>
            </w:pPr>
            <w:r>
              <w:rPr>
                <w:sz w:val="22"/>
              </w:rPr>
              <w:t>被考核单位</w:t>
            </w:r>
          </w:p>
        </w:tc>
        <w:tc>
          <w:tcPr>
            <w:tcW w:w="3712" w:type="dxa"/>
          </w:tcPr>
          <w:p>
            <w:pPr>
              <w:pStyle w:val="12"/>
              <w:ind w:left="0"/>
              <w:rPr>
                <w:rFonts w:ascii="Times New Roman"/>
                <w:sz w:val="18"/>
              </w:rPr>
            </w:pPr>
          </w:p>
        </w:tc>
        <w:tc>
          <w:tcPr>
            <w:tcW w:w="1208" w:type="dxa"/>
          </w:tcPr>
          <w:p>
            <w:pPr>
              <w:pStyle w:val="12"/>
              <w:spacing w:before="2"/>
              <w:ind w:left="108"/>
              <w:rPr>
                <w:sz w:val="22"/>
              </w:rPr>
            </w:pPr>
            <w:r>
              <w:rPr>
                <w:sz w:val="22"/>
              </w:rPr>
              <w:t>考核场所</w:t>
            </w:r>
          </w:p>
        </w:tc>
        <w:tc>
          <w:tcPr>
            <w:tcW w:w="4605" w:type="dxa"/>
            <w:gridSpan w:val="2"/>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320" w:type="dxa"/>
          </w:tcPr>
          <w:p>
            <w:pPr>
              <w:pStyle w:val="12"/>
              <w:spacing w:before="3" w:line="280" w:lineRule="atLeast"/>
              <w:ind w:right="98"/>
              <w:rPr>
                <w:sz w:val="22"/>
              </w:rPr>
            </w:pPr>
            <w:r>
              <w:rPr>
                <w:sz w:val="22"/>
              </w:rPr>
              <w:t>被考核单位确认</w:t>
            </w:r>
          </w:p>
        </w:tc>
        <w:tc>
          <w:tcPr>
            <w:tcW w:w="3712" w:type="dxa"/>
          </w:tcPr>
          <w:p>
            <w:pPr>
              <w:pStyle w:val="12"/>
              <w:ind w:left="0"/>
              <w:rPr>
                <w:rFonts w:ascii="Times New Roman"/>
                <w:sz w:val="18"/>
              </w:rPr>
            </w:pPr>
          </w:p>
        </w:tc>
        <w:tc>
          <w:tcPr>
            <w:tcW w:w="1208" w:type="dxa"/>
          </w:tcPr>
          <w:p>
            <w:pPr>
              <w:pStyle w:val="12"/>
              <w:spacing w:before="3"/>
              <w:ind w:left="108"/>
              <w:rPr>
                <w:sz w:val="22"/>
              </w:rPr>
            </w:pPr>
            <w:r>
              <w:rPr>
                <w:sz w:val="22"/>
              </w:rPr>
              <w:t>考核方式</w:t>
            </w:r>
          </w:p>
        </w:tc>
        <w:tc>
          <w:tcPr>
            <w:tcW w:w="4605" w:type="dxa"/>
            <w:gridSpan w:val="2"/>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20" w:type="dxa"/>
          </w:tcPr>
          <w:p>
            <w:pPr>
              <w:pStyle w:val="12"/>
              <w:rPr>
                <w:sz w:val="22"/>
              </w:rPr>
            </w:pPr>
            <w:r>
              <w:rPr>
                <w:sz w:val="22"/>
              </w:rPr>
              <w:t>考核项目</w:t>
            </w:r>
          </w:p>
        </w:tc>
        <w:tc>
          <w:tcPr>
            <w:tcW w:w="3712" w:type="dxa"/>
          </w:tcPr>
          <w:p>
            <w:pPr>
              <w:pStyle w:val="12"/>
              <w:rPr>
                <w:sz w:val="22"/>
              </w:rPr>
            </w:pPr>
            <w:r>
              <w:rPr>
                <w:sz w:val="22"/>
              </w:rPr>
              <w:t>管理内容</w:t>
            </w:r>
          </w:p>
        </w:tc>
        <w:tc>
          <w:tcPr>
            <w:tcW w:w="4268" w:type="dxa"/>
            <w:gridSpan w:val="2"/>
          </w:tcPr>
          <w:p>
            <w:pPr>
              <w:pStyle w:val="12"/>
              <w:ind w:left="1207"/>
              <w:rPr>
                <w:sz w:val="22"/>
              </w:rPr>
            </w:pPr>
            <w:r>
              <w:rPr>
                <w:sz w:val="22"/>
              </w:rPr>
              <w:t>扣款标准</w:t>
            </w:r>
          </w:p>
        </w:tc>
        <w:tc>
          <w:tcPr>
            <w:tcW w:w="1545" w:type="dxa"/>
          </w:tcPr>
          <w:p>
            <w:pPr>
              <w:pStyle w:val="12"/>
              <w:rPr>
                <w:sz w:val="22"/>
              </w:rPr>
            </w:pPr>
            <w:r>
              <w:rPr>
                <w:sz w:val="22"/>
              </w:rPr>
              <w:t>扣款情况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20" w:type="dxa"/>
            <w:tcBorders>
              <w:bottom w:val="nil"/>
            </w:tcBorders>
          </w:tcPr>
          <w:p>
            <w:pPr>
              <w:pStyle w:val="12"/>
              <w:spacing w:before="1"/>
              <w:rPr>
                <w:sz w:val="22"/>
              </w:rPr>
            </w:pPr>
            <w:r>
              <w:rPr>
                <w:sz w:val="22"/>
              </w:rPr>
              <w:t>（一）</w:t>
            </w:r>
          </w:p>
        </w:tc>
        <w:tc>
          <w:tcPr>
            <w:tcW w:w="3712" w:type="dxa"/>
          </w:tcPr>
          <w:p>
            <w:pPr>
              <w:pStyle w:val="12"/>
              <w:rPr>
                <w:sz w:val="18"/>
              </w:rPr>
            </w:pPr>
            <w:r>
              <w:rPr>
                <w:sz w:val="18"/>
              </w:rPr>
              <w:t>1、层层落实管理责任制</w:t>
            </w:r>
          </w:p>
        </w:tc>
        <w:tc>
          <w:tcPr>
            <w:tcW w:w="4268" w:type="dxa"/>
            <w:gridSpan w:val="2"/>
          </w:tcPr>
          <w:p>
            <w:pPr>
              <w:pStyle w:val="12"/>
              <w:ind w:left="197"/>
              <w:rPr>
                <w:sz w:val="18"/>
              </w:rPr>
            </w:pPr>
            <w:r>
              <w:rPr>
                <w:sz w:val="18"/>
              </w:rPr>
              <w:t>1、未落实责任制的扣1000元。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trPr>
        <w:tc>
          <w:tcPr>
            <w:tcW w:w="1320" w:type="dxa"/>
            <w:tcBorders>
              <w:top w:val="nil"/>
              <w:bottom w:val="nil"/>
            </w:tcBorders>
          </w:tcPr>
          <w:p>
            <w:pPr>
              <w:pStyle w:val="12"/>
              <w:spacing w:line="216" w:lineRule="exact"/>
              <w:ind w:left="328"/>
              <w:rPr>
                <w:sz w:val="22"/>
              </w:rPr>
            </w:pPr>
            <w:r>
              <w:rPr>
                <w:w w:val="100"/>
                <w:sz w:val="22"/>
              </w:rPr>
              <w:t>台</w:t>
            </w:r>
          </w:p>
        </w:tc>
        <w:tc>
          <w:tcPr>
            <w:tcW w:w="3712" w:type="dxa"/>
            <w:vMerge w:val="restart"/>
          </w:tcPr>
          <w:p>
            <w:pPr>
              <w:pStyle w:val="12"/>
              <w:spacing w:before="1"/>
              <w:rPr>
                <w:sz w:val="18"/>
              </w:rPr>
            </w:pPr>
            <w:r>
              <w:rPr>
                <w:sz w:val="18"/>
              </w:rPr>
              <w:t>2、按要求建好日常检查台帐。</w:t>
            </w:r>
          </w:p>
        </w:tc>
        <w:tc>
          <w:tcPr>
            <w:tcW w:w="4268" w:type="dxa"/>
            <w:gridSpan w:val="2"/>
            <w:vMerge w:val="restart"/>
          </w:tcPr>
          <w:p>
            <w:pPr>
              <w:pStyle w:val="12"/>
              <w:spacing w:before="1"/>
              <w:ind w:left="108"/>
              <w:rPr>
                <w:sz w:val="18"/>
              </w:rPr>
            </w:pPr>
            <w:r>
              <w:rPr>
                <w:sz w:val="18"/>
              </w:rPr>
              <w:t>2、台帐每缺一项扣1000元。</w:t>
            </w:r>
          </w:p>
        </w:tc>
        <w:tc>
          <w:tcPr>
            <w:tcW w:w="1545" w:type="dxa"/>
            <w:vMerge w:val="restart"/>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1320" w:type="dxa"/>
            <w:vMerge w:val="restart"/>
            <w:tcBorders>
              <w:top w:val="nil"/>
              <w:bottom w:val="nil"/>
            </w:tcBorders>
          </w:tcPr>
          <w:p>
            <w:pPr>
              <w:pStyle w:val="12"/>
              <w:spacing w:line="278" w:lineRule="exact"/>
              <w:ind w:left="328"/>
              <w:rPr>
                <w:sz w:val="22"/>
              </w:rPr>
            </w:pPr>
            <w:r>
              <w:rPr>
                <w:w w:val="100"/>
                <w:sz w:val="22"/>
              </w:rPr>
              <w:t>账</w:t>
            </w:r>
          </w:p>
          <w:p>
            <w:pPr>
              <w:pStyle w:val="12"/>
              <w:spacing w:before="3" w:line="258" w:lineRule="exact"/>
              <w:ind w:left="328"/>
              <w:rPr>
                <w:sz w:val="22"/>
              </w:rPr>
            </w:pPr>
            <w:r>
              <w:rPr>
                <w:w w:val="100"/>
                <w:sz w:val="22"/>
              </w:rPr>
              <w:t>资</w:t>
            </w:r>
          </w:p>
        </w:tc>
        <w:tc>
          <w:tcPr>
            <w:tcW w:w="3712" w:type="dxa"/>
            <w:vMerge w:val="continue"/>
            <w:tcBorders>
              <w:top w:val="nil"/>
            </w:tcBorders>
          </w:tcPr>
          <w:p>
            <w:pPr>
              <w:rPr>
                <w:sz w:val="2"/>
                <w:szCs w:val="2"/>
              </w:rPr>
            </w:pPr>
          </w:p>
        </w:tc>
        <w:tc>
          <w:tcPr>
            <w:tcW w:w="4268" w:type="dxa"/>
            <w:gridSpan w:val="2"/>
            <w:vMerge w:val="continue"/>
            <w:tcBorders>
              <w:top w:val="nil"/>
            </w:tcBorders>
          </w:tcPr>
          <w:p>
            <w:pPr>
              <w:rPr>
                <w:sz w:val="2"/>
                <w:szCs w:val="2"/>
              </w:rPr>
            </w:pPr>
          </w:p>
        </w:tc>
        <w:tc>
          <w:tcPr>
            <w:tcW w:w="15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320" w:type="dxa"/>
            <w:vMerge w:val="continue"/>
            <w:tcBorders>
              <w:top w:val="nil"/>
              <w:bottom w:val="nil"/>
            </w:tcBorders>
          </w:tcPr>
          <w:p>
            <w:pPr>
              <w:rPr>
                <w:sz w:val="2"/>
                <w:szCs w:val="2"/>
              </w:rPr>
            </w:pPr>
          </w:p>
        </w:tc>
        <w:tc>
          <w:tcPr>
            <w:tcW w:w="3712" w:type="dxa"/>
            <w:tcBorders>
              <w:bottom w:val="nil"/>
            </w:tcBorders>
          </w:tcPr>
          <w:p>
            <w:pPr>
              <w:pStyle w:val="12"/>
              <w:spacing w:before="2" w:line="230" w:lineRule="atLeast"/>
              <w:ind w:right="443"/>
              <w:rPr>
                <w:sz w:val="18"/>
              </w:rPr>
            </w:pPr>
            <w:r>
              <w:rPr>
                <w:sz w:val="18"/>
              </w:rPr>
              <w:t>3、由保卫科负责抽查各场所岗位执岗情况，如发现缺岗，做出处罚。</w:t>
            </w:r>
          </w:p>
        </w:tc>
        <w:tc>
          <w:tcPr>
            <w:tcW w:w="4268" w:type="dxa"/>
            <w:gridSpan w:val="2"/>
            <w:tcBorders>
              <w:bottom w:val="nil"/>
            </w:tcBorders>
          </w:tcPr>
          <w:p>
            <w:pPr>
              <w:pStyle w:val="12"/>
              <w:spacing w:before="2"/>
              <w:ind w:left="108"/>
              <w:rPr>
                <w:sz w:val="18"/>
              </w:rPr>
            </w:pPr>
            <w:r>
              <w:rPr>
                <w:sz w:val="18"/>
              </w:rPr>
              <w:t>3.抽查时每缺一人的扣款1000元/次，</w:t>
            </w:r>
          </w:p>
        </w:tc>
        <w:tc>
          <w:tcPr>
            <w:tcW w:w="1545" w:type="dxa"/>
            <w:vMerge w:val="restart"/>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hRule="atLeast"/>
        </w:trPr>
        <w:tc>
          <w:tcPr>
            <w:tcW w:w="1320" w:type="dxa"/>
            <w:vMerge w:val="restart"/>
            <w:tcBorders>
              <w:top w:val="nil"/>
            </w:tcBorders>
          </w:tcPr>
          <w:p>
            <w:pPr>
              <w:pStyle w:val="12"/>
              <w:spacing w:line="279" w:lineRule="exact"/>
              <w:ind w:left="328"/>
              <w:rPr>
                <w:sz w:val="22"/>
              </w:rPr>
            </w:pPr>
            <w:r>
              <w:rPr>
                <w:w w:val="100"/>
                <w:sz w:val="22"/>
              </w:rPr>
              <w:t>料</w:t>
            </w:r>
          </w:p>
        </w:tc>
        <w:tc>
          <w:tcPr>
            <w:tcW w:w="3712" w:type="dxa"/>
            <w:tcBorders>
              <w:top w:val="nil"/>
            </w:tcBorders>
          </w:tcPr>
          <w:p>
            <w:pPr>
              <w:pStyle w:val="12"/>
              <w:ind w:left="0"/>
              <w:rPr>
                <w:rFonts w:ascii="Times New Roman"/>
                <w:sz w:val="6"/>
              </w:rPr>
            </w:pPr>
          </w:p>
        </w:tc>
        <w:tc>
          <w:tcPr>
            <w:tcW w:w="4268" w:type="dxa"/>
            <w:gridSpan w:val="2"/>
            <w:tcBorders>
              <w:top w:val="nil"/>
            </w:tcBorders>
          </w:tcPr>
          <w:p>
            <w:pPr>
              <w:pStyle w:val="12"/>
              <w:ind w:left="0"/>
              <w:rPr>
                <w:rFonts w:ascii="Times New Roman"/>
                <w:sz w:val="6"/>
              </w:rPr>
            </w:pPr>
          </w:p>
        </w:tc>
        <w:tc>
          <w:tcPr>
            <w:tcW w:w="15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1320" w:type="dxa"/>
            <w:vMerge w:val="continue"/>
            <w:tcBorders>
              <w:top w:val="nil"/>
            </w:tcBorders>
          </w:tcPr>
          <w:p>
            <w:pPr>
              <w:rPr>
                <w:sz w:val="2"/>
                <w:szCs w:val="2"/>
              </w:rPr>
            </w:pPr>
          </w:p>
        </w:tc>
        <w:tc>
          <w:tcPr>
            <w:tcW w:w="3712" w:type="dxa"/>
          </w:tcPr>
          <w:p>
            <w:pPr>
              <w:pStyle w:val="12"/>
              <w:spacing w:line="242" w:lineRule="auto"/>
              <w:ind w:right="172"/>
              <w:rPr>
                <w:sz w:val="18"/>
              </w:rPr>
            </w:pPr>
            <w:r>
              <w:rPr>
                <w:sz w:val="18"/>
              </w:rPr>
              <w:t xml:space="preserve">4、保安公司需对保安人员实施考勤签到制度（人脸识别考勤机），并制定相应执勤 </w:t>
            </w:r>
            <w:r>
              <w:rPr>
                <w:spacing w:val="-1"/>
                <w:sz w:val="18"/>
              </w:rPr>
              <w:t>表，每月执勤表于上一个月末前提供医院。</w:t>
            </w:r>
          </w:p>
        </w:tc>
        <w:tc>
          <w:tcPr>
            <w:tcW w:w="4268" w:type="dxa"/>
            <w:gridSpan w:val="2"/>
          </w:tcPr>
          <w:p>
            <w:pPr>
              <w:pStyle w:val="12"/>
              <w:spacing w:line="242" w:lineRule="auto"/>
              <w:ind w:left="108" w:right="98"/>
              <w:rPr>
                <w:sz w:val="18"/>
              </w:rPr>
            </w:pPr>
            <w:r>
              <w:rPr>
                <w:sz w:val="18"/>
              </w:rPr>
              <w:t>4、保安人员每天实施人脸识别考勤机考勤签到，每少1人扣100-500元。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320" w:type="dxa"/>
            <w:vMerge w:val="restart"/>
            <w:tcBorders>
              <w:bottom w:val="nil"/>
            </w:tcBorders>
          </w:tcPr>
          <w:p>
            <w:pPr>
              <w:pStyle w:val="12"/>
              <w:spacing w:before="4"/>
              <w:ind w:left="0"/>
              <w:rPr>
                <w:sz w:val="22"/>
              </w:rPr>
            </w:pPr>
          </w:p>
          <w:p>
            <w:pPr>
              <w:pStyle w:val="12"/>
              <w:rPr>
                <w:sz w:val="22"/>
              </w:rPr>
            </w:pPr>
            <w:r>
              <w:rPr>
                <w:sz w:val="22"/>
              </w:rPr>
              <w:t>（二）</w:t>
            </w:r>
          </w:p>
        </w:tc>
        <w:tc>
          <w:tcPr>
            <w:tcW w:w="3712" w:type="dxa"/>
          </w:tcPr>
          <w:p>
            <w:pPr>
              <w:pStyle w:val="12"/>
              <w:spacing w:before="2" w:line="230" w:lineRule="atLeast"/>
              <w:ind w:right="443"/>
              <w:rPr>
                <w:sz w:val="18"/>
              </w:rPr>
            </w:pPr>
            <w:r>
              <w:rPr>
                <w:sz w:val="18"/>
              </w:rPr>
              <w:t>5、保安应持有杭州市公安局颁发的上岗证，上岗人员应与投标文件相符。</w:t>
            </w:r>
          </w:p>
        </w:tc>
        <w:tc>
          <w:tcPr>
            <w:tcW w:w="4268" w:type="dxa"/>
            <w:gridSpan w:val="2"/>
          </w:tcPr>
          <w:p>
            <w:pPr>
              <w:pStyle w:val="12"/>
              <w:spacing w:before="2" w:line="230" w:lineRule="atLeast"/>
              <w:ind w:left="108" w:right="98"/>
              <w:rPr>
                <w:sz w:val="18"/>
              </w:rPr>
            </w:pPr>
            <w:r>
              <w:rPr>
                <w:sz w:val="18"/>
              </w:rPr>
              <w:t>5、保安未持有杭州市公安局颁发的上岗证或上岗人员与投标文件不符，每人扣1000元。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1320" w:type="dxa"/>
            <w:vMerge w:val="continue"/>
            <w:tcBorders>
              <w:top w:val="nil"/>
              <w:bottom w:val="nil"/>
            </w:tcBorders>
          </w:tcPr>
          <w:p>
            <w:pPr>
              <w:rPr>
                <w:sz w:val="2"/>
                <w:szCs w:val="2"/>
              </w:rPr>
            </w:pPr>
          </w:p>
        </w:tc>
        <w:tc>
          <w:tcPr>
            <w:tcW w:w="3712" w:type="dxa"/>
          </w:tcPr>
          <w:p>
            <w:pPr>
              <w:pStyle w:val="12"/>
              <w:rPr>
                <w:sz w:val="18"/>
              </w:rPr>
            </w:pPr>
            <w:r>
              <w:rPr>
                <w:sz w:val="18"/>
              </w:rPr>
              <w:t>6、保安人数应与预定方案相符。</w:t>
            </w:r>
          </w:p>
        </w:tc>
        <w:tc>
          <w:tcPr>
            <w:tcW w:w="4268" w:type="dxa"/>
            <w:gridSpan w:val="2"/>
          </w:tcPr>
          <w:p>
            <w:pPr>
              <w:pStyle w:val="12"/>
              <w:ind w:left="197"/>
              <w:rPr>
                <w:sz w:val="18"/>
              </w:rPr>
            </w:pPr>
            <w:r>
              <w:rPr>
                <w:sz w:val="18"/>
              </w:rPr>
              <w:t>6、保安人数与预定方案不符，每少1人扣500元。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320" w:type="dxa"/>
            <w:tcBorders>
              <w:top w:val="nil"/>
              <w:bottom w:val="nil"/>
            </w:tcBorders>
          </w:tcPr>
          <w:p>
            <w:pPr>
              <w:pStyle w:val="12"/>
              <w:ind w:left="0"/>
              <w:rPr>
                <w:rFonts w:ascii="Times New Roman"/>
                <w:sz w:val="18"/>
              </w:rPr>
            </w:pPr>
          </w:p>
        </w:tc>
        <w:tc>
          <w:tcPr>
            <w:tcW w:w="3712" w:type="dxa"/>
          </w:tcPr>
          <w:p>
            <w:pPr>
              <w:pStyle w:val="12"/>
              <w:spacing w:before="1"/>
              <w:rPr>
                <w:sz w:val="18"/>
              </w:rPr>
            </w:pPr>
            <w:r>
              <w:rPr>
                <w:sz w:val="18"/>
              </w:rPr>
              <w:t>7、规定时间内到岗执岗，不得迟到，早</w:t>
            </w:r>
          </w:p>
          <w:p>
            <w:pPr>
              <w:pStyle w:val="12"/>
              <w:spacing w:before="2" w:line="230" w:lineRule="atLeast"/>
              <w:ind w:right="172"/>
              <w:rPr>
                <w:sz w:val="18"/>
              </w:rPr>
            </w:pPr>
            <w:r>
              <w:rPr>
                <w:sz w:val="18"/>
              </w:rPr>
              <w:t>退、脱岗、误岗，不得私自让投标文件，中安排的保安以外的人员顶岗。</w:t>
            </w:r>
          </w:p>
        </w:tc>
        <w:tc>
          <w:tcPr>
            <w:tcW w:w="4268" w:type="dxa"/>
            <w:gridSpan w:val="2"/>
          </w:tcPr>
          <w:p>
            <w:pPr>
              <w:pStyle w:val="12"/>
              <w:spacing w:before="1"/>
              <w:ind w:left="108"/>
              <w:rPr>
                <w:sz w:val="18"/>
              </w:rPr>
            </w:pPr>
            <w:r>
              <w:rPr>
                <w:sz w:val="18"/>
              </w:rPr>
              <w:t>7、迟到、早退、脱岗、误岗的每次扣500元；私自</w:t>
            </w:r>
          </w:p>
          <w:p>
            <w:pPr>
              <w:pStyle w:val="12"/>
              <w:spacing w:before="2" w:line="230" w:lineRule="atLeast"/>
              <w:ind w:left="108" w:right="187"/>
              <w:rPr>
                <w:sz w:val="18"/>
              </w:rPr>
            </w:pPr>
            <w:r>
              <w:rPr>
                <w:sz w:val="18"/>
              </w:rPr>
              <w:t>让投标文件中安排的保安以外的人员顶岗的每次扣500元。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320" w:type="dxa"/>
            <w:tcBorders>
              <w:top w:val="nil"/>
              <w:bottom w:val="nil"/>
            </w:tcBorders>
          </w:tcPr>
          <w:p>
            <w:pPr>
              <w:pStyle w:val="12"/>
              <w:ind w:left="0"/>
              <w:rPr>
                <w:rFonts w:ascii="Times New Roman"/>
                <w:sz w:val="18"/>
              </w:rPr>
            </w:pPr>
          </w:p>
        </w:tc>
        <w:tc>
          <w:tcPr>
            <w:tcW w:w="3712" w:type="dxa"/>
          </w:tcPr>
          <w:p>
            <w:pPr>
              <w:pStyle w:val="12"/>
              <w:spacing w:before="1"/>
              <w:rPr>
                <w:sz w:val="18"/>
              </w:rPr>
            </w:pPr>
            <w:r>
              <w:rPr>
                <w:sz w:val="18"/>
              </w:rPr>
              <w:t>8、在执岗中形象良好，按照规定着装。</w:t>
            </w:r>
          </w:p>
        </w:tc>
        <w:tc>
          <w:tcPr>
            <w:tcW w:w="4268" w:type="dxa"/>
            <w:gridSpan w:val="2"/>
          </w:tcPr>
          <w:p>
            <w:pPr>
              <w:pStyle w:val="12"/>
              <w:spacing w:before="1"/>
              <w:ind w:left="108"/>
              <w:rPr>
                <w:sz w:val="18"/>
              </w:rPr>
            </w:pPr>
            <w:r>
              <w:rPr>
                <w:sz w:val="18"/>
              </w:rPr>
              <w:t>8、在执岗中形象不佳、不按规定着装、保安服与便</w:t>
            </w:r>
          </w:p>
          <w:p>
            <w:pPr>
              <w:pStyle w:val="12"/>
              <w:spacing w:before="2" w:line="213" w:lineRule="exact"/>
              <w:ind w:left="108"/>
              <w:rPr>
                <w:sz w:val="18"/>
              </w:rPr>
            </w:pPr>
            <w:r>
              <w:rPr>
                <w:sz w:val="18"/>
              </w:rPr>
              <w:t>服混穿等每次扣500元。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320" w:type="dxa"/>
            <w:tcBorders>
              <w:top w:val="nil"/>
              <w:bottom w:val="nil"/>
            </w:tcBorders>
          </w:tcPr>
          <w:p>
            <w:pPr>
              <w:pStyle w:val="12"/>
              <w:spacing w:before="5"/>
              <w:ind w:left="328"/>
              <w:rPr>
                <w:sz w:val="22"/>
              </w:rPr>
            </w:pPr>
            <w:r>
              <w:rPr>
                <w:w w:val="100"/>
                <w:sz w:val="22"/>
              </w:rPr>
              <w:t>服</w:t>
            </w:r>
          </w:p>
        </w:tc>
        <w:tc>
          <w:tcPr>
            <w:tcW w:w="3712" w:type="dxa"/>
          </w:tcPr>
          <w:p>
            <w:pPr>
              <w:pStyle w:val="12"/>
              <w:spacing w:before="2"/>
              <w:rPr>
                <w:sz w:val="18"/>
              </w:rPr>
            </w:pPr>
            <w:r>
              <w:rPr>
                <w:sz w:val="18"/>
              </w:rPr>
              <w:t>9、执勤室内务整洁、物品按要求摆放。</w:t>
            </w:r>
          </w:p>
        </w:tc>
        <w:tc>
          <w:tcPr>
            <w:tcW w:w="4268" w:type="dxa"/>
            <w:gridSpan w:val="2"/>
          </w:tcPr>
          <w:p>
            <w:pPr>
              <w:pStyle w:val="12"/>
              <w:spacing w:before="2"/>
              <w:ind w:left="108"/>
              <w:rPr>
                <w:sz w:val="18"/>
              </w:rPr>
            </w:pPr>
            <w:r>
              <w:rPr>
                <w:sz w:val="18"/>
              </w:rPr>
              <w:t>9、执勤室内务不整洁、物品不按要求摆放的每次扣</w:t>
            </w:r>
          </w:p>
          <w:p>
            <w:pPr>
              <w:pStyle w:val="12"/>
              <w:spacing w:before="2" w:line="212" w:lineRule="exact"/>
              <w:ind w:left="108"/>
              <w:rPr>
                <w:sz w:val="18"/>
              </w:rPr>
            </w:pPr>
            <w:r>
              <w:rPr>
                <w:sz w:val="18"/>
              </w:rPr>
              <w:t>100元。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320" w:type="dxa"/>
            <w:tcBorders>
              <w:top w:val="nil"/>
              <w:bottom w:val="nil"/>
            </w:tcBorders>
          </w:tcPr>
          <w:p>
            <w:pPr>
              <w:pStyle w:val="12"/>
              <w:ind w:left="0"/>
              <w:rPr>
                <w:sz w:val="30"/>
              </w:rPr>
            </w:pPr>
          </w:p>
          <w:p>
            <w:pPr>
              <w:pStyle w:val="12"/>
              <w:spacing w:before="1"/>
              <w:ind w:left="328"/>
              <w:rPr>
                <w:sz w:val="22"/>
              </w:rPr>
            </w:pPr>
            <w:r>
              <w:rPr>
                <w:w w:val="100"/>
                <w:sz w:val="22"/>
              </w:rPr>
              <w:t>务</w:t>
            </w:r>
          </w:p>
        </w:tc>
        <w:tc>
          <w:tcPr>
            <w:tcW w:w="3712" w:type="dxa"/>
          </w:tcPr>
          <w:p>
            <w:pPr>
              <w:pStyle w:val="12"/>
              <w:spacing w:line="242" w:lineRule="auto"/>
              <w:ind w:right="263"/>
              <w:rPr>
                <w:sz w:val="18"/>
              </w:rPr>
            </w:pPr>
            <w:r>
              <w:rPr>
                <w:sz w:val="18"/>
              </w:rPr>
              <w:t>10.严格认真执行文明用语、礼貌待人、不得与人发生争吵或打架。</w:t>
            </w:r>
          </w:p>
        </w:tc>
        <w:tc>
          <w:tcPr>
            <w:tcW w:w="4268" w:type="dxa"/>
            <w:gridSpan w:val="2"/>
          </w:tcPr>
          <w:p>
            <w:pPr>
              <w:pStyle w:val="12"/>
              <w:ind w:left="197"/>
              <w:rPr>
                <w:sz w:val="18"/>
              </w:rPr>
            </w:pPr>
            <w:r>
              <w:rPr>
                <w:sz w:val="18"/>
              </w:rPr>
              <w:t>10、未文明用语、礼貌待人的每次扣50元，与人发</w:t>
            </w:r>
          </w:p>
          <w:p>
            <w:pPr>
              <w:pStyle w:val="12"/>
              <w:spacing w:before="2" w:line="230" w:lineRule="atLeast"/>
              <w:ind w:left="108" w:right="188"/>
              <w:rPr>
                <w:sz w:val="18"/>
              </w:rPr>
            </w:pPr>
            <w:r>
              <w:rPr>
                <w:sz w:val="18"/>
              </w:rPr>
              <w:t>生争吵的每次扣100元，与人发生打架的每次扣500 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320" w:type="dxa"/>
            <w:vMerge w:val="restart"/>
            <w:tcBorders>
              <w:top w:val="nil"/>
              <w:bottom w:val="nil"/>
            </w:tcBorders>
          </w:tcPr>
          <w:p>
            <w:pPr>
              <w:pStyle w:val="12"/>
              <w:ind w:left="0"/>
              <w:rPr>
                <w:sz w:val="22"/>
              </w:rPr>
            </w:pPr>
          </w:p>
          <w:p>
            <w:pPr>
              <w:pStyle w:val="12"/>
              <w:spacing w:before="6"/>
              <w:ind w:left="0"/>
              <w:rPr>
                <w:sz w:val="19"/>
              </w:rPr>
            </w:pPr>
          </w:p>
          <w:p>
            <w:pPr>
              <w:pStyle w:val="12"/>
              <w:ind w:left="328"/>
              <w:rPr>
                <w:sz w:val="22"/>
              </w:rPr>
            </w:pPr>
            <w:r>
              <w:rPr>
                <w:w w:val="100"/>
                <w:sz w:val="22"/>
              </w:rPr>
              <w:t>质</w:t>
            </w:r>
          </w:p>
        </w:tc>
        <w:tc>
          <w:tcPr>
            <w:tcW w:w="3712" w:type="dxa"/>
          </w:tcPr>
          <w:p>
            <w:pPr>
              <w:pStyle w:val="12"/>
              <w:spacing w:line="242" w:lineRule="auto"/>
              <w:ind w:right="172" w:firstLine="88"/>
              <w:rPr>
                <w:sz w:val="18"/>
              </w:rPr>
            </w:pPr>
            <w:r>
              <w:rPr>
                <w:sz w:val="18"/>
              </w:rPr>
              <w:t>11、执岗时间内不得睡觉、玩手机、看电视等与工作无关的事情，执岗时不得饮酒。</w:t>
            </w:r>
          </w:p>
        </w:tc>
        <w:tc>
          <w:tcPr>
            <w:tcW w:w="4268" w:type="dxa"/>
            <w:gridSpan w:val="2"/>
          </w:tcPr>
          <w:p>
            <w:pPr>
              <w:pStyle w:val="12"/>
              <w:spacing w:line="242" w:lineRule="auto"/>
              <w:ind w:left="108" w:right="97"/>
              <w:rPr>
                <w:sz w:val="18"/>
              </w:rPr>
            </w:pPr>
            <w:r>
              <w:rPr>
                <w:sz w:val="18"/>
              </w:rPr>
              <w:t>11、执岗时间内睡觉、玩手机、看电视等与工作无关的事情的每次扣500元，执岗时饮酒的每次扣1000</w:t>
            </w:r>
          </w:p>
          <w:p>
            <w:pPr>
              <w:pStyle w:val="12"/>
              <w:spacing w:line="213" w:lineRule="exact"/>
              <w:ind w:left="108"/>
              <w:rPr>
                <w:sz w:val="18"/>
              </w:rPr>
            </w:pPr>
            <w:r>
              <w:rPr>
                <w:sz w:val="18"/>
              </w:rPr>
              <w:t>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1320" w:type="dxa"/>
            <w:vMerge w:val="continue"/>
            <w:tcBorders>
              <w:top w:val="nil"/>
              <w:bottom w:val="nil"/>
            </w:tcBorders>
          </w:tcPr>
          <w:p>
            <w:pPr>
              <w:rPr>
                <w:sz w:val="2"/>
                <w:szCs w:val="2"/>
              </w:rPr>
            </w:pPr>
          </w:p>
        </w:tc>
        <w:tc>
          <w:tcPr>
            <w:tcW w:w="3712" w:type="dxa"/>
          </w:tcPr>
          <w:p>
            <w:pPr>
              <w:pStyle w:val="12"/>
              <w:spacing w:before="1" w:line="242" w:lineRule="auto"/>
              <w:ind w:right="263"/>
              <w:rPr>
                <w:sz w:val="18"/>
              </w:rPr>
            </w:pPr>
            <w:r>
              <w:rPr>
                <w:sz w:val="18"/>
              </w:rPr>
              <w:t>12.安全消防每天检查一次，并做好台账， 台账每月报医院保卫科备案。</w:t>
            </w:r>
          </w:p>
        </w:tc>
        <w:tc>
          <w:tcPr>
            <w:tcW w:w="4268" w:type="dxa"/>
            <w:gridSpan w:val="2"/>
          </w:tcPr>
          <w:p>
            <w:pPr>
              <w:pStyle w:val="12"/>
              <w:spacing w:before="1" w:line="242" w:lineRule="auto"/>
              <w:ind w:left="108" w:right="98" w:firstLine="88"/>
              <w:rPr>
                <w:sz w:val="18"/>
              </w:rPr>
            </w:pPr>
            <w:r>
              <w:rPr>
                <w:sz w:val="18"/>
              </w:rPr>
              <w:t>12、安全消防未做到每天检查一次，未做好台账， 台账每月未及时报医院保卫科备案的每项各扣1000</w:t>
            </w:r>
          </w:p>
          <w:p>
            <w:pPr>
              <w:pStyle w:val="12"/>
              <w:spacing w:before="2" w:line="212" w:lineRule="exact"/>
              <w:ind w:left="108"/>
              <w:rPr>
                <w:sz w:val="18"/>
              </w:rPr>
            </w:pPr>
            <w:r>
              <w:rPr>
                <w:sz w:val="18"/>
              </w:rPr>
              <w:t>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trPr>
        <w:tc>
          <w:tcPr>
            <w:tcW w:w="1320" w:type="dxa"/>
            <w:tcBorders>
              <w:top w:val="nil"/>
              <w:bottom w:val="nil"/>
            </w:tcBorders>
          </w:tcPr>
          <w:p>
            <w:pPr>
              <w:pStyle w:val="12"/>
              <w:spacing w:line="247" w:lineRule="exact"/>
              <w:ind w:left="328"/>
              <w:rPr>
                <w:sz w:val="22"/>
              </w:rPr>
            </w:pPr>
            <w:r>
              <w:rPr>
                <w:w w:val="100"/>
                <w:sz w:val="22"/>
              </w:rPr>
              <w:t>量</w:t>
            </w:r>
          </w:p>
        </w:tc>
        <w:tc>
          <w:tcPr>
            <w:tcW w:w="3712" w:type="dxa"/>
          </w:tcPr>
          <w:p>
            <w:pPr>
              <w:pStyle w:val="12"/>
              <w:spacing w:line="242" w:lineRule="auto"/>
              <w:ind w:right="263"/>
              <w:rPr>
                <w:sz w:val="18"/>
              </w:rPr>
            </w:pPr>
            <w:r>
              <w:rPr>
                <w:sz w:val="18"/>
              </w:rPr>
              <w:t>13.执岗认真负责，拥有高度警惕性。在规定时间内完成巡逻，不发生财产丢失、被盗。</w:t>
            </w:r>
          </w:p>
        </w:tc>
        <w:tc>
          <w:tcPr>
            <w:tcW w:w="4268" w:type="dxa"/>
            <w:gridSpan w:val="2"/>
          </w:tcPr>
          <w:p>
            <w:pPr>
              <w:pStyle w:val="12"/>
              <w:spacing w:line="242" w:lineRule="auto"/>
              <w:ind w:left="108" w:right="187"/>
              <w:jc w:val="both"/>
              <w:rPr>
                <w:sz w:val="18"/>
              </w:rPr>
            </w:pPr>
            <w:r>
              <w:rPr>
                <w:sz w:val="18"/>
              </w:rPr>
              <w:t>13、执岗不认真负责，无高度警惕性，未在规定时间内完成巡逻的扣1000元，发生财产丢失、被盗经公安司法部门认定有责任的按财产价值实际价值扣</w:t>
            </w:r>
          </w:p>
          <w:p>
            <w:pPr>
              <w:pStyle w:val="12"/>
              <w:spacing w:before="2" w:line="212" w:lineRule="exact"/>
              <w:ind w:left="108"/>
              <w:rPr>
                <w:sz w:val="18"/>
              </w:rPr>
            </w:pPr>
            <w:r>
              <w:rPr>
                <w:sz w:val="18"/>
              </w:rPr>
              <w:t>除。</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320" w:type="dxa"/>
            <w:tcBorders>
              <w:top w:val="nil"/>
              <w:bottom w:val="nil"/>
            </w:tcBorders>
          </w:tcPr>
          <w:p>
            <w:pPr>
              <w:pStyle w:val="12"/>
              <w:ind w:left="0"/>
              <w:rPr>
                <w:rFonts w:ascii="Times New Roman"/>
                <w:sz w:val="18"/>
              </w:rPr>
            </w:pPr>
          </w:p>
        </w:tc>
        <w:tc>
          <w:tcPr>
            <w:tcW w:w="3712" w:type="dxa"/>
          </w:tcPr>
          <w:p>
            <w:pPr>
              <w:pStyle w:val="12"/>
              <w:spacing w:before="3" w:line="230" w:lineRule="atLeast"/>
              <w:ind w:right="263"/>
              <w:jc w:val="both"/>
              <w:rPr>
                <w:sz w:val="18"/>
              </w:rPr>
            </w:pPr>
            <w:r>
              <w:rPr>
                <w:sz w:val="18"/>
              </w:rPr>
              <w:t>14.无有责投诉（包括电话、信访、市长公开电话等)，有责投诉后处置及时。无领导发现违反本细则情况。</w:t>
            </w:r>
          </w:p>
        </w:tc>
        <w:tc>
          <w:tcPr>
            <w:tcW w:w="4268" w:type="dxa"/>
            <w:gridSpan w:val="2"/>
          </w:tcPr>
          <w:p>
            <w:pPr>
              <w:pStyle w:val="12"/>
              <w:spacing w:before="3" w:line="230" w:lineRule="atLeast"/>
              <w:ind w:left="108" w:right="98"/>
              <w:jc w:val="both"/>
              <w:rPr>
                <w:sz w:val="18"/>
              </w:rPr>
            </w:pPr>
            <w:r>
              <w:rPr>
                <w:sz w:val="18"/>
              </w:rPr>
              <w:t>14.出现一次有责投诉的视情节扣100元-1000元，不及时处理的扣500元。若违反本细则情况的视情节严重，每次扣200元-500元。</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320" w:type="dxa"/>
            <w:tcBorders>
              <w:top w:val="nil"/>
            </w:tcBorders>
          </w:tcPr>
          <w:p>
            <w:pPr>
              <w:pStyle w:val="12"/>
              <w:ind w:left="0"/>
              <w:rPr>
                <w:rFonts w:ascii="Times New Roman"/>
                <w:sz w:val="18"/>
              </w:rPr>
            </w:pPr>
          </w:p>
        </w:tc>
        <w:tc>
          <w:tcPr>
            <w:tcW w:w="3712" w:type="dxa"/>
          </w:tcPr>
          <w:p>
            <w:pPr>
              <w:pStyle w:val="12"/>
              <w:rPr>
                <w:sz w:val="18"/>
              </w:rPr>
            </w:pPr>
            <w:r>
              <w:rPr>
                <w:sz w:val="18"/>
              </w:rPr>
              <w:t>15、不得违反医院规章制度</w:t>
            </w:r>
          </w:p>
        </w:tc>
        <w:tc>
          <w:tcPr>
            <w:tcW w:w="4268" w:type="dxa"/>
            <w:gridSpan w:val="2"/>
          </w:tcPr>
          <w:p>
            <w:pPr>
              <w:pStyle w:val="12"/>
              <w:ind w:left="108"/>
              <w:rPr>
                <w:sz w:val="18"/>
              </w:rPr>
            </w:pPr>
            <w:r>
              <w:rPr>
                <w:sz w:val="18"/>
              </w:rPr>
              <w:t>15.若发现违反的，则按医院员工制度同等处罚，特</w:t>
            </w:r>
          </w:p>
          <w:p>
            <w:pPr>
              <w:pStyle w:val="12"/>
              <w:spacing w:before="2" w:line="213" w:lineRule="exact"/>
              <w:ind w:left="108"/>
              <w:rPr>
                <w:sz w:val="18"/>
              </w:rPr>
            </w:pPr>
            <w:r>
              <w:rPr>
                <w:sz w:val="18"/>
              </w:rPr>
              <w:t>殊情况，经医院决定作出处罚。</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trPr>
        <w:tc>
          <w:tcPr>
            <w:tcW w:w="9300" w:type="dxa"/>
            <w:gridSpan w:val="4"/>
          </w:tcPr>
          <w:p>
            <w:pPr>
              <w:pStyle w:val="12"/>
              <w:spacing w:before="2"/>
              <w:ind w:left="3718" w:right="5092"/>
              <w:jc w:val="center"/>
              <w:rPr>
                <w:sz w:val="22"/>
              </w:rPr>
            </w:pPr>
            <w:r>
              <w:rPr>
                <w:sz w:val="22"/>
              </w:rPr>
              <w:t>合计</w:t>
            </w:r>
          </w:p>
        </w:tc>
        <w:tc>
          <w:tcPr>
            <w:tcW w:w="1545" w:type="dxa"/>
          </w:tcPr>
          <w:p>
            <w:pPr>
              <w:pStyle w:val="12"/>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5032" w:type="dxa"/>
            <w:gridSpan w:val="2"/>
          </w:tcPr>
          <w:p>
            <w:pPr>
              <w:pStyle w:val="12"/>
              <w:spacing w:before="1"/>
              <w:rPr>
                <w:sz w:val="22"/>
              </w:rPr>
            </w:pPr>
            <w:r>
              <w:rPr>
                <w:sz w:val="22"/>
              </w:rPr>
              <w:t>检查人员</w:t>
            </w:r>
          </w:p>
        </w:tc>
        <w:tc>
          <w:tcPr>
            <w:tcW w:w="5813" w:type="dxa"/>
            <w:gridSpan w:val="3"/>
          </w:tcPr>
          <w:p>
            <w:pPr>
              <w:pStyle w:val="12"/>
              <w:ind w:left="0"/>
              <w:rPr>
                <w:rFonts w:ascii="Times New Roman"/>
                <w:sz w:val="18"/>
              </w:rPr>
            </w:pPr>
          </w:p>
        </w:tc>
      </w:tr>
    </w:tbl>
    <w:p>
      <w:pPr>
        <w:spacing w:before="97"/>
        <w:ind w:left="3705" w:right="0" w:firstLine="0"/>
        <w:jc w:val="left"/>
        <w:rPr>
          <w:sz w:val="22"/>
        </w:rPr>
      </w:pPr>
      <w:r>
        <w:rPr>
          <w:sz w:val="22"/>
        </w:rPr>
        <w:t>杭州市临安区第一人民医院保安日常管理考核细则</w:t>
      </w:r>
    </w:p>
    <w:p>
      <w:pPr>
        <w:pStyle w:val="3"/>
        <w:spacing w:before="10"/>
        <w:rPr>
          <w:sz w:val="17"/>
        </w:rPr>
      </w:pPr>
    </w:p>
    <w:p>
      <w:pPr>
        <w:spacing w:after="0"/>
        <w:rPr>
          <w:rFonts w:ascii="Times New Roman"/>
          <w:sz w:val="18"/>
        </w:rPr>
        <w:sectPr>
          <w:pgSz w:w="11910" w:h="16840"/>
          <w:pgMar w:top="920" w:right="420" w:bottom="280" w:left="0" w:header="720" w:footer="720" w:gutter="0"/>
          <w:cols w:space="720" w:num="1"/>
        </w:sectPr>
      </w:pPr>
    </w:p>
    <w:p>
      <w:pPr>
        <w:pStyle w:val="3"/>
        <w:spacing w:before="41"/>
        <w:ind w:left="1039"/>
      </w:pPr>
      <w:r>
        <w:t>（四）人员岗位配置及要求：</w:t>
      </w:r>
    </w:p>
    <w:p>
      <w:pPr>
        <w:pStyle w:val="3"/>
        <w:rPr>
          <w:sz w:val="20"/>
        </w:rPr>
      </w:pPr>
    </w:p>
    <w:p>
      <w:pPr>
        <w:pStyle w:val="3"/>
        <w:rPr>
          <w:sz w:val="20"/>
        </w:rPr>
      </w:pPr>
    </w:p>
    <w:p>
      <w:pPr>
        <w:pStyle w:val="3"/>
        <w:rPr>
          <w:sz w:val="20"/>
        </w:rPr>
      </w:pPr>
    </w:p>
    <w:p>
      <w:pPr>
        <w:pStyle w:val="3"/>
        <w:rPr>
          <w:sz w:val="20"/>
        </w:rPr>
      </w:pPr>
    </w:p>
    <w:p>
      <w:pPr>
        <w:pStyle w:val="3"/>
        <w:rPr>
          <w:sz w:val="26"/>
        </w:rPr>
      </w:pPr>
    </w:p>
    <w:tbl>
      <w:tblPr>
        <w:tblStyle w:val="7"/>
        <w:tblW w:w="0" w:type="auto"/>
        <w:tblInd w:w="8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4"/>
        <w:gridCol w:w="2084"/>
        <w:gridCol w:w="2084"/>
        <w:gridCol w:w="2084"/>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378" w:type="dxa"/>
            <w:gridSpan w:val="5"/>
          </w:tcPr>
          <w:p>
            <w:pPr>
              <w:pStyle w:val="12"/>
              <w:spacing w:before="1"/>
              <w:ind w:left="2680" w:right="2668"/>
              <w:jc w:val="center"/>
              <w:rPr>
                <w:b/>
                <w:sz w:val="36"/>
              </w:rPr>
            </w:pPr>
            <w:r>
              <w:rPr>
                <w:b/>
                <w:sz w:val="36"/>
              </w:rPr>
              <w:t>2022年岗位及人数需求表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084" w:type="dxa"/>
          </w:tcPr>
          <w:p>
            <w:pPr>
              <w:pStyle w:val="12"/>
              <w:spacing w:before="1"/>
              <w:rPr>
                <w:sz w:val="22"/>
              </w:rPr>
            </w:pPr>
            <w:r>
              <w:rPr>
                <w:sz w:val="22"/>
              </w:rPr>
              <w:t>岗位设置</w:t>
            </w:r>
          </w:p>
        </w:tc>
        <w:tc>
          <w:tcPr>
            <w:tcW w:w="2084" w:type="dxa"/>
          </w:tcPr>
          <w:p>
            <w:pPr>
              <w:pStyle w:val="12"/>
              <w:spacing w:before="1"/>
              <w:ind w:left="106"/>
              <w:rPr>
                <w:sz w:val="22"/>
              </w:rPr>
            </w:pPr>
            <w:r>
              <w:rPr>
                <w:sz w:val="22"/>
              </w:rPr>
              <w:t>岗位</w:t>
            </w:r>
          </w:p>
        </w:tc>
        <w:tc>
          <w:tcPr>
            <w:tcW w:w="2084" w:type="dxa"/>
          </w:tcPr>
          <w:p>
            <w:pPr>
              <w:pStyle w:val="12"/>
              <w:spacing w:before="1"/>
              <w:ind w:left="108"/>
              <w:rPr>
                <w:sz w:val="22"/>
              </w:rPr>
            </w:pPr>
            <w:r>
              <w:rPr>
                <w:sz w:val="22"/>
              </w:rPr>
              <w:t>时间（小时）</w:t>
            </w:r>
          </w:p>
        </w:tc>
        <w:tc>
          <w:tcPr>
            <w:tcW w:w="2084" w:type="dxa"/>
          </w:tcPr>
          <w:p>
            <w:pPr>
              <w:pStyle w:val="12"/>
              <w:spacing w:before="1"/>
              <w:rPr>
                <w:sz w:val="22"/>
              </w:rPr>
            </w:pPr>
            <w:r>
              <w:rPr>
                <w:sz w:val="22"/>
              </w:rPr>
              <w:t>人数</w:t>
            </w:r>
          </w:p>
        </w:tc>
        <w:tc>
          <w:tcPr>
            <w:tcW w:w="1042" w:type="dxa"/>
          </w:tcPr>
          <w:p>
            <w:pPr>
              <w:pStyle w:val="12"/>
              <w:spacing w:before="1"/>
              <w:ind w:left="106"/>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084" w:type="dxa"/>
          </w:tcPr>
          <w:p>
            <w:pPr>
              <w:pStyle w:val="12"/>
              <w:spacing w:before="2"/>
              <w:rPr>
                <w:sz w:val="22"/>
              </w:rPr>
            </w:pPr>
            <w:r>
              <w:rPr>
                <w:sz w:val="22"/>
              </w:rPr>
              <w:t>队长、副队长</w:t>
            </w:r>
          </w:p>
        </w:tc>
        <w:tc>
          <w:tcPr>
            <w:tcW w:w="2084" w:type="dxa"/>
          </w:tcPr>
          <w:p>
            <w:pPr>
              <w:pStyle w:val="12"/>
              <w:spacing w:before="2"/>
              <w:ind w:left="106"/>
              <w:rPr>
                <w:sz w:val="22"/>
              </w:rPr>
            </w:pPr>
            <w:r>
              <w:rPr>
                <w:w w:val="100"/>
                <w:sz w:val="22"/>
              </w:rPr>
              <w:t>2</w:t>
            </w:r>
          </w:p>
        </w:tc>
        <w:tc>
          <w:tcPr>
            <w:tcW w:w="2084" w:type="dxa"/>
          </w:tcPr>
          <w:p>
            <w:pPr>
              <w:pStyle w:val="12"/>
              <w:spacing w:before="2"/>
              <w:ind w:left="108"/>
              <w:rPr>
                <w:sz w:val="22"/>
              </w:rPr>
            </w:pPr>
            <w:r>
              <w:rPr>
                <w:w w:val="100"/>
                <w:sz w:val="22"/>
              </w:rPr>
              <w:t>8</w:t>
            </w:r>
          </w:p>
        </w:tc>
        <w:tc>
          <w:tcPr>
            <w:tcW w:w="2084" w:type="dxa"/>
          </w:tcPr>
          <w:p>
            <w:pPr>
              <w:pStyle w:val="12"/>
              <w:spacing w:before="2"/>
              <w:rPr>
                <w:sz w:val="22"/>
              </w:rPr>
            </w:pPr>
            <w:r>
              <w:rPr>
                <w:w w:val="100"/>
                <w:sz w:val="22"/>
              </w:rPr>
              <w:t>2</w:t>
            </w:r>
          </w:p>
        </w:tc>
        <w:tc>
          <w:tcPr>
            <w:tcW w:w="1042" w:type="dxa"/>
          </w:tcPr>
          <w:p>
            <w:pPr>
              <w:pStyle w:val="12"/>
              <w:spacing w:before="2"/>
              <w:ind w:left="106"/>
              <w:rPr>
                <w:sz w:val="22"/>
              </w:rPr>
            </w:pPr>
            <w:r>
              <w:rPr>
                <w:sz w:val="22"/>
              </w:rPr>
              <w:t>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084" w:type="dxa"/>
          </w:tcPr>
          <w:p>
            <w:pPr>
              <w:pStyle w:val="12"/>
              <w:spacing w:before="1"/>
              <w:rPr>
                <w:sz w:val="22"/>
              </w:rPr>
            </w:pPr>
            <w:r>
              <w:rPr>
                <w:sz w:val="22"/>
              </w:rPr>
              <w:t>消控员</w:t>
            </w:r>
          </w:p>
        </w:tc>
        <w:tc>
          <w:tcPr>
            <w:tcW w:w="2084" w:type="dxa"/>
          </w:tcPr>
          <w:p>
            <w:pPr>
              <w:pStyle w:val="12"/>
              <w:spacing w:before="1"/>
              <w:ind w:left="106"/>
              <w:rPr>
                <w:sz w:val="22"/>
              </w:rPr>
            </w:pPr>
            <w:r>
              <w:rPr>
                <w:w w:val="100"/>
                <w:sz w:val="22"/>
              </w:rPr>
              <w:t>2</w:t>
            </w:r>
          </w:p>
        </w:tc>
        <w:tc>
          <w:tcPr>
            <w:tcW w:w="2084" w:type="dxa"/>
          </w:tcPr>
          <w:p>
            <w:pPr>
              <w:pStyle w:val="12"/>
              <w:spacing w:before="1"/>
              <w:ind w:left="108"/>
              <w:rPr>
                <w:sz w:val="22"/>
              </w:rPr>
            </w:pPr>
            <w:r>
              <w:rPr>
                <w:sz w:val="22"/>
              </w:rPr>
              <w:t>24</w:t>
            </w:r>
          </w:p>
        </w:tc>
        <w:tc>
          <w:tcPr>
            <w:tcW w:w="2084" w:type="dxa"/>
          </w:tcPr>
          <w:p>
            <w:pPr>
              <w:pStyle w:val="12"/>
              <w:spacing w:before="1"/>
              <w:rPr>
                <w:sz w:val="22"/>
              </w:rPr>
            </w:pPr>
            <w:r>
              <w:rPr>
                <w:sz w:val="22"/>
              </w:rPr>
              <w:t>7.5</w:t>
            </w:r>
          </w:p>
        </w:tc>
        <w:tc>
          <w:tcPr>
            <w:tcW w:w="1042" w:type="dxa"/>
          </w:tcPr>
          <w:p>
            <w:pPr>
              <w:pStyle w:val="12"/>
              <w:spacing w:before="1"/>
              <w:ind w:left="106"/>
              <w:rPr>
                <w:sz w:val="22"/>
              </w:rPr>
            </w:pPr>
            <w:r>
              <w:rPr>
                <w:sz w:val="22"/>
              </w:rPr>
              <w:t>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2084" w:type="dxa"/>
          </w:tcPr>
          <w:p>
            <w:pPr>
              <w:pStyle w:val="12"/>
              <w:spacing w:before="1"/>
              <w:rPr>
                <w:sz w:val="22"/>
              </w:rPr>
            </w:pPr>
            <w:r>
              <w:rPr>
                <w:sz w:val="22"/>
              </w:rPr>
              <w:t>巡逻班</w:t>
            </w:r>
          </w:p>
        </w:tc>
        <w:tc>
          <w:tcPr>
            <w:tcW w:w="2084" w:type="dxa"/>
          </w:tcPr>
          <w:p>
            <w:pPr>
              <w:pStyle w:val="12"/>
              <w:spacing w:before="1"/>
              <w:ind w:left="106"/>
              <w:rPr>
                <w:sz w:val="22"/>
              </w:rPr>
            </w:pPr>
            <w:r>
              <w:rPr>
                <w:w w:val="100"/>
                <w:sz w:val="22"/>
              </w:rPr>
              <w:t>3</w:t>
            </w:r>
          </w:p>
        </w:tc>
        <w:tc>
          <w:tcPr>
            <w:tcW w:w="2084" w:type="dxa"/>
          </w:tcPr>
          <w:p>
            <w:pPr>
              <w:pStyle w:val="12"/>
              <w:spacing w:before="1"/>
              <w:ind w:left="108"/>
              <w:rPr>
                <w:sz w:val="22"/>
              </w:rPr>
            </w:pPr>
            <w:r>
              <w:rPr>
                <w:sz w:val="22"/>
              </w:rPr>
              <w:t>24</w:t>
            </w:r>
          </w:p>
        </w:tc>
        <w:tc>
          <w:tcPr>
            <w:tcW w:w="2084" w:type="dxa"/>
          </w:tcPr>
          <w:p>
            <w:pPr>
              <w:pStyle w:val="12"/>
              <w:spacing w:before="1"/>
              <w:rPr>
                <w:sz w:val="22"/>
              </w:rPr>
            </w:pPr>
            <w:r>
              <w:rPr>
                <w:sz w:val="22"/>
              </w:rPr>
              <w:t>10.5</w:t>
            </w:r>
          </w:p>
        </w:tc>
        <w:tc>
          <w:tcPr>
            <w:tcW w:w="1042" w:type="dxa"/>
          </w:tcPr>
          <w:p>
            <w:pPr>
              <w:pStyle w:val="12"/>
              <w:spacing w:before="1"/>
              <w:ind w:left="106"/>
              <w:rPr>
                <w:sz w:val="22"/>
              </w:rPr>
            </w:pPr>
            <w:r>
              <w:rPr>
                <w:sz w:val="22"/>
              </w:rPr>
              <w:t>特保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2084" w:type="dxa"/>
          </w:tcPr>
          <w:p>
            <w:pPr>
              <w:pStyle w:val="12"/>
              <w:spacing w:before="1"/>
              <w:rPr>
                <w:sz w:val="22"/>
              </w:rPr>
            </w:pPr>
            <w:r>
              <w:rPr>
                <w:sz w:val="22"/>
              </w:rPr>
              <w:t>挂号收费岗位</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w w:val="100"/>
                <w:sz w:val="22"/>
              </w:rPr>
              <w:t>8</w:t>
            </w:r>
          </w:p>
        </w:tc>
        <w:tc>
          <w:tcPr>
            <w:tcW w:w="2084" w:type="dxa"/>
          </w:tcPr>
          <w:p>
            <w:pPr>
              <w:pStyle w:val="12"/>
              <w:spacing w:before="1"/>
              <w:rPr>
                <w:sz w:val="22"/>
              </w:rPr>
            </w:pPr>
            <w:r>
              <w:rPr>
                <w:w w:val="100"/>
                <w:sz w:val="22"/>
              </w:rPr>
              <w:t>1</w:t>
            </w:r>
          </w:p>
        </w:tc>
        <w:tc>
          <w:tcPr>
            <w:tcW w:w="1042" w:type="dxa"/>
          </w:tcPr>
          <w:p>
            <w:pPr>
              <w:pStyle w:val="12"/>
              <w:spacing w:before="1"/>
              <w:ind w:left="106"/>
              <w:rPr>
                <w:sz w:val="22"/>
              </w:rPr>
            </w:pPr>
            <w:r>
              <w:rPr>
                <w:sz w:val="22"/>
              </w:rPr>
              <w:t>特保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6" w:hRule="atLeast"/>
        </w:trPr>
        <w:tc>
          <w:tcPr>
            <w:tcW w:w="2084" w:type="dxa"/>
          </w:tcPr>
          <w:p>
            <w:pPr>
              <w:pStyle w:val="12"/>
              <w:spacing w:before="2"/>
              <w:rPr>
                <w:sz w:val="22"/>
              </w:rPr>
            </w:pPr>
            <w:r>
              <w:rPr>
                <w:sz w:val="22"/>
              </w:rPr>
              <w:t>急诊岗位</w:t>
            </w:r>
          </w:p>
        </w:tc>
        <w:tc>
          <w:tcPr>
            <w:tcW w:w="2084" w:type="dxa"/>
          </w:tcPr>
          <w:p>
            <w:pPr>
              <w:pStyle w:val="12"/>
              <w:spacing w:before="2"/>
              <w:ind w:left="106"/>
              <w:rPr>
                <w:sz w:val="22"/>
              </w:rPr>
            </w:pPr>
            <w:r>
              <w:rPr>
                <w:w w:val="100"/>
                <w:sz w:val="22"/>
              </w:rPr>
              <w:t>1</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sz w:val="22"/>
              </w:rPr>
              <w:t>3.5</w:t>
            </w:r>
          </w:p>
        </w:tc>
        <w:tc>
          <w:tcPr>
            <w:tcW w:w="1042" w:type="dxa"/>
          </w:tcPr>
          <w:p>
            <w:pPr>
              <w:pStyle w:val="12"/>
              <w:spacing w:before="2"/>
              <w:ind w:left="106"/>
              <w:rPr>
                <w:sz w:val="22"/>
              </w:rPr>
            </w:pPr>
            <w:r>
              <w:rPr>
                <w:sz w:val="22"/>
              </w:rPr>
              <w:t>特保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trPr>
        <w:tc>
          <w:tcPr>
            <w:tcW w:w="2084" w:type="dxa"/>
          </w:tcPr>
          <w:p>
            <w:pPr>
              <w:pStyle w:val="12"/>
              <w:spacing w:before="1"/>
              <w:rPr>
                <w:sz w:val="22"/>
              </w:rPr>
            </w:pPr>
            <w:r>
              <w:rPr>
                <w:sz w:val="22"/>
              </w:rPr>
              <w:t>院前车管</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sz w:val="22"/>
              </w:rPr>
              <w:t>24</w:t>
            </w:r>
          </w:p>
        </w:tc>
        <w:tc>
          <w:tcPr>
            <w:tcW w:w="2084" w:type="dxa"/>
          </w:tcPr>
          <w:p>
            <w:pPr>
              <w:pStyle w:val="12"/>
              <w:spacing w:before="1"/>
              <w:rPr>
                <w:sz w:val="22"/>
              </w:rPr>
            </w:pPr>
            <w:r>
              <w:rPr>
                <w:sz w:val="22"/>
              </w:rPr>
              <w:t>3.5</w:t>
            </w:r>
          </w:p>
        </w:tc>
        <w:tc>
          <w:tcPr>
            <w:tcW w:w="1042" w:type="dxa"/>
          </w:tcPr>
          <w:p>
            <w:pPr>
              <w:pStyle w:val="12"/>
              <w:spacing w:before="1"/>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2084" w:type="dxa"/>
          </w:tcPr>
          <w:p>
            <w:pPr>
              <w:pStyle w:val="12"/>
              <w:spacing w:before="1"/>
              <w:rPr>
                <w:sz w:val="22"/>
              </w:rPr>
            </w:pPr>
            <w:r>
              <w:rPr>
                <w:sz w:val="22"/>
              </w:rPr>
              <w:t>院内车管</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sz w:val="22"/>
              </w:rPr>
              <w:t>15</w:t>
            </w:r>
          </w:p>
        </w:tc>
        <w:tc>
          <w:tcPr>
            <w:tcW w:w="2084" w:type="dxa"/>
          </w:tcPr>
          <w:p>
            <w:pPr>
              <w:pStyle w:val="12"/>
              <w:spacing w:before="1"/>
              <w:rPr>
                <w:sz w:val="22"/>
              </w:rPr>
            </w:pPr>
            <w:r>
              <w:rPr>
                <w:w w:val="100"/>
                <w:sz w:val="22"/>
              </w:rPr>
              <w:t>2</w:t>
            </w:r>
          </w:p>
        </w:tc>
        <w:tc>
          <w:tcPr>
            <w:tcW w:w="1042" w:type="dxa"/>
          </w:tcPr>
          <w:p>
            <w:pPr>
              <w:pStyle w:val="12"/>
              <w:spacing w:before="1"/>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084" w:type="dxa"/>
          </w:tcPr>
          <w:p>
            <w:pPr>
              <w:pStyle w:val="12"/>
              <w:spacing w:before="2"/>
              <w:rPr>
                <w:sz w:val="22"/>
              </w:rPr>
            </w:pPr>
            <w:r>
              <w:rPr>
                <w:sz w:val="22"/>
              </w:rPr>
              <w:t>产科岗位</w:t>
            </w:r>
          </w:p>
        </w:tc>
        <w:tc>
          <w:tcPr>
            <w:tcW w:w="2084" w:type="dxa"/>
          </w:tcPr>
          <w:p>
            <w:pPr>
              <w:pStyle w:val="12"/>
              <w:spacing w:before="2"/>
              <w:ind w:left="106"/>
              <w:rPr>
                <w:sz w:val="22"/>
              </w:rPr>
            </w:pPr>
            <w:r>
              <w:rPr>
                <w:w w:val="100"/>
                <w:sz w:val="22"/>
              </w:rPr>
              <w:t>1</w:t>
            </w:r>
          </w:p>
        </w:tc>
        <w:tc>
          <w:tcPr>
            <w:tcW w:w="2084" w:type="dxa"/>
          </w:tcPr>
          <w:p>
            <w:pPr>
              <w:pStyle w:val="12"/>
              <w:spacing w:before="2"/>
              <w:ind w:left="108"/>
              <w:rPr>
                <w:sz w:val="22"/>
              </w:rPr>
            </w:pPr>
            <w:r>
              <w:rPr>
                <w:w w:val="100"/>
                <w:sz w:val="22"/>
              </w:rPr>
              <w:t>8</w:t>
            </w:r>
          </w:p>
        </w:tc>
        <w:tc>
          <w:tcPr>
            <w:tcW w:w="2084" w:type="dxa"/>
          </w:tcPr>
          <w:p>
            <w:pPr>
              <w:pStyle w:val="12"/>
              <w:spacing w:before="2"/>
              <w:rPr>
                <w:sz w:val="22"/>
              </w:rPr>
            </w:pPr>
            <w:r>
              <w:rPr>
                <w:w w:val="100"/>
                <w:sz w:val="22"/>
              </w:rPr>
              <w:t>1</w:t>
            </w:r>
          </w:p>
        </w:tc>
        <w:tc>
          <w:tcPr>
            <w:tcW w:w="1042" w:type="dxa"/>
          </w:tcPr>
          <w:p>
            <w:pPr>
              <w:pStyle w:val="12"/>
              <w:spacing w:before="2"/>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2084" w:type="dxa"/>
          </w:tcPr>
          <w:p>
            <w:pPr>
              <w:pStyle w:val="12"/>
              <w:spacing w:before="1"/>
              <w:rPr>
                <w:sz w:val="22"/>
              </w:rPr>
            </w:pPr>
            <w:r>
              <w:rPr>
                <w:sz w:val="22"/>
              </w:rPr>
              <w:t>儿科岗位</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sz w:val="22"/>
              </w:rPr>
              <w:t>16</w:t>
            </w:r>
          </w:p>
        </w:tc>
        <w:tc>
          <w:tcPr>
            <w:tcW w:w="2084" w:type="dxa"/>
          </w:tcPr>
          <w:p>
            <w:pPr>
              <w:pStyle w:val="12"/>
              <w:spacing w:before="1"/>
              <w:rPr>
                <w:sz w:val="22"/>
              </w:rPr>
            </w:pPr>
            <w:r>
              <w:rPr>
                <w:sz w:val="22"/>
              </w:rPr>
              <w:t>2.5</w:t>
            </w:r>
          </w:p>
        </w:tc>
        <w:tc>
          <w:tcPr>
            <w:tcW w:w="1042" w:type="dxa"/>
          </w:tcPr>
          <w:p>
            <w:pPr>
              <w:pStyle w:val="12"/>
              <w:spacing w:before="1"/>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 w:hRule="atLeast"/>
        </w:trPr>
        <w:tc>
          <w:tcPr>
            <w:tcW w:w="2084" w:type="dxa"/>
          </w:tcPr>
          <w:p>
            <w:pPr>
              <w:pStyle w:val="12"/>
              <w:spacing w:before="1"/>
              <w:rPr>
                <w:sz w:val="22"/>
              </w:rPr>
            </w:pPr>
            <w:r>
              <w:rPr>
                <w:sz w:val="22"/>
              </w:rPr>
              <w:t>内科岗位</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w w:val="100"/>
                <w:sz w:val="22"/>
              </w:rPr>
              <w:t>8</w:t>
            </w:r>
          </w:p>
        </w:tc>
        <w:tc>
          <w:tcPr>
            <w:tcW w:w="2084" w:type="dxa"/>
          </w:tcPr>
          <w:p>
            <w:pPr>
              <w:pStyle w:val="12"/>
              <w:spacing w:before="1"/>
              <w:rPr>
                <w:sz w:val="22"/>
              </w:rPr>
            </w:pPr>
            <w:r>
              <w:rPr>
                <w:w w:val="100"/>
                <w:sz w:val="22"/>
              </w:rPr>
              <w:t>1</w:t>
            </w:r>
          </w:p>
        </w:tc>
        <w:tc>
          <w:tcPr>
            <w:tcW w:w="1042" w:type="dxa"/>
          </w:tcPr>
          <w:p>
            <w:pPr>
              <w:pStyle w:val="12"/>
              <w:spacing w:before="1"/>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2084" w:type="dxa"/>
          </w:tcPr>
          <w:p>
            <w:pPr>
              <w:pStyle w:val="12"/>
              <w:spacing w:before="3"/>
              <w:rPr>
                <w:sz w:val="22"/>
              </w:rPr>
            </w:pPr>
            <w:r>
              <w:rPr>
                <w:sz w:val="22"/>
              </w:rPr>
              <w:t>行政岗位</w:t>
            </w:r>
          </w:p>
        </w:tc>
        <w:tc>
          <w:tcPr>
            <w:tcW w:w="2084" w:type="dxa"/>
          </w:tcPr>
          <w:p>
            <w:pPr>
              <w:pStyle w:val="12"/>
              <w:spacing w:before="3"/>
              <w:ind w:left="106"/>
              <w:rPr>
                <w:sz w:val="22"/>
              </w:rPr>
            </w:pPr>
            <w:r>
              <w:rPr>
                <w:w w:val="100"/>
                <w:sz w:val="22"/>
              </w:rPr>
              <w:t>1</w:t>
            </w:r>
          </w:p>
        </w:tc>
        <w:tc>
          <w:tcPr>
            <w:tcW w:w="2084" w:type="dxa"/>
          </w:tcPr>
          <w:p>
            <w:pPr>
              <w:pStyle w:val="12"/>
              <w:spacing w:before="3"/>
              <w:ind w:left="108"/>
              <w:rPr>
                <w:sz w:val="22"/>
              </w:rPr>
            </w:pPr>
            <w:r>
              <w:rPr>
                <w:w w:val="100"/>
                <w:sz w:val="22"/>
              </w:rPr>
              <w:t>8</w:t>
            </w:r>
          </w:p>
        </w:tc>
        <w:tc>
          <w:tcPr>
            <w:tcW w:w="2084" w:type="dxa"/>
          </w:tcPr>
          <w:p>
            <w:pPr>
              <w:pStyle w:val="12"/>
              <w:spacing w:before="3"/>
              <w:rPr>
                <w:sz w:val="22"/>
              </w:rPr>
            </w:pPr>
            <w:r>
              <w:rPr>
                <w:w w:val="100"/>
                <w:sz w:val="22"/>
              </w:rPr>
              <w:t>1</w:t>
            </w:r>
          </w:p>
        </w:tc>
        <w:tc>
          <w:tcPr>
            <w:tcW w:w="1042" w:type="dxa"/>
          </w:tcPr>
          <w:p>
            <w:pPr>
              <w:pStyle w:val="12"/>
              <w:spacing w:before="3"/>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1" w:hRule="atLeast"/>
        </w:trPr>
        <w:tc>
          <w:tcPr>
            <w:tcW w:w="2084" w:type="dxa"/>
          </w:tcPr>
          <w:p>
            <w:pPr>
              <w:pStyle w:val="12"/>
              <w:spacing w:before="1"/>
              <w:rPr>
                <w:sz w:val="22"/>
              </w:rPr>
            </w:pPr>
            <w:r>
              <w:rPr>
                <w:sz w:val="22"/>
              </w:rPr>
              <w:t>疫情防控卡点1</w:t>
            </w:r>
          </w:p>
          <w:p>
            <w:pPr>
              <w:pStyle w:val="12"/>
              <w:spacing w:before="4" w:line="280" w:lineRule="atLeast"/>
              <w:ind w:right="644"/>
              <w:jc w:val="both"/>
              <w:rPr>
                <w:sz w:val="22"/>
              </w:rPr>
            </w:pPr>
            <w:r>
              <w:rPr>
                <w:sz w:val="22"/>
              </w:rPr>
              <w:t>（门急诊预检分诊查询行程码）</w:t>
            </w:r>
          </w:p>
        </w:tc>
        <w:tc>
          <w:tcPr>
            <w:tcW w:w="2084" w:type="dxa"/>
          </w:tcPr>
          <w:p>
            <w:pPr>
              <w:pStyle w:val="12"/>
              <w:spacing w:before="1"/>
              <w:ind w:left="106"/>
              <w:rPr>
                <w:sz w:val="22"/>
              </w:rPr>
            </w:pPr>
            <w:r>
              <w:rPr>
                <w:w w:val="100"/>
                <w:sz w:val="22"/>
              </w:rPr>
              <w:t>2</w:t>
            </w:r>
          </w:p>
        </w:tc>
        <w:tc>
          <w:tcPr>
            <w:tcW w:w="2084" w:type="dxa"/>
          </w:tcPr>
          <w:p>
            <w:pPr>
              <w:pStyle w:val="12"/>
              <w:spacing w:before="1"/>
              <w:ind w:left="108"/>
              <w:rPr>
                <w:sz w:val="22"/>
              </w:rPr>
            </w:pPr>
            <w:r>
              <w:rPr>
                <w:sz w:val="22"/>
              </w:rPr>
              <w:t>10.5</w:t>
            </w:r>
          </w:p>
        </w:tc>
        <w:tc>
          <w:tcPr>
            <w:tcW w:w="2084" w:type="dxa"/>
          </w:tcPr>
          <w:p>
            <w:pPr>
              <w:pStyle w:val="12"/>
              <w:spacing w:before="1"/>
              <w:rPr>
                <w:sz w:val="22"/>
              </w:rPr>
            </w:pPr>
            <w:r>
              <w:rPr>
                <w:sz w:val="22"/>
              </w:rPr>
              <w:t>2.5</w:t>
            </w:r>
          </w:p>
        </w:tc>
        <w:tc>
          <w:tcPr>
            <w:tcW w:w="1042" w:type="dxa"/>
          </w:tcPr>
          <w:p>
            <w:pPr>
              <w:pStyle w:val="12"/>
              <w:spacing w:before="1"/>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2084" w:type="dxa"/>
          </w:tcPr>
          <w:p>
            <w:pPr>
              <w:pStyle w:val="12"/>
              <w:spacing w:before="2"/>
              <w:rPr>
                <w:sz w:val="22"/>
              </w:rPr>
            </w:pPr>
            <w:r>
              <w:rPr>
                <w:sz w:val="22"/>
              </w:rPr>
              <w:t>疫情防控卡点2:</w:t>
            </w:r>
          </w:p>
          <w:p>
            <w:pPr>
              <w:pStyle w:val="12"/>
              <w:spacing w:before="4" w:line="280" w:lineRule="atLeast"/>
              <w:ind w:right="644"/>
              <w:rPr>
                <w:sz w:val="22"/>
              </w:rPr>
            </w:pPr>
            <w:r>
              <w:rPr>
                <w:sz w:val="22"/>
              </w:rPr>
              <w:t>（急诊卡扣查询健康码）</w:t>
            </w:r>
          </w:p>
        </w:tc>
        <w:tc>
          <w:tcPr>
            <w:tcW w:w="2084" w:type="dxa"/>
          </w:tcPr>
          <w:p>
            <w:pPr>
              <w:pStyle w:val="12"/>
              <w:spacing w:before="2"/>
              <w:ind w:left="106"/>
              <w:rPr>
                <w:sz w:val="22"/>
              </w:rPr>
            </w:pPr>
            <w:r>
              <w:rPr>
                <w:w w:val="100"/>
                <w:sz w:val="22"/>
              </w:rPr>
              <w:t>2</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sz w:val="22"/>
              </w:rPr>
              <w:t>7.5</w:t>
            </w:r>
          </w:p>
        </w:tc>
        <w:tc>
          <w:tcPr>
            <w:tcW w:w="1042" w:type="dxa"/>
          </w:tcPr>
          <w:p>
            <w:pPr>
              <w:pStyle w:val="12"/>
              <w:spacing w:before="2"/>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2084" w:type="dxa"/>
          </w:tcPr>
          <w:p>
            <w:pPr>
              <w:pStyle w:val="12"/>
              <w:spacing w:before="2"/>
              <w:rPr>
                <w:sz w:val="22"/>
              </w:rPr>
            </w:pPr>
            <w:r>
              <w:rPr>
                <w:sz w:val="22"/>
              </w:rPr>
              <w:t>疫情防控卡点3</w:t>
            </w:r>
          </w:p>
          <w:p>
            <w:pPr>
              <w:pStyle w:val="12"/>
              <w:spacing w:before="4" w:line="280" w:lineRule="atLeast"/>
              <w:ind w:right="644"/>
              <w:rPr>
                <w:sz w:val="22"/>
              </w:rPr>
            </w:pPr>
            <w:r>
              <w:rPr>
                <w:sz w:val="22"/>
              </w:rPr>
              <w:t>（新大楼住院部卡扣）</w:t>
            </w:r>
          </w:p>
        </w:tc>
        <w:tc>
          <w:tcPr>
            <w:tcW w:w="2084" w:type="dxa"/>
          </w:tcPr>
          <w:p>
            <w:pPr>
              <w:pStyle w:val="12"/>
              <w:spacing w:before="2"/>
              <w:ind w:left="106"/>
              <w:rPr>
                <w:sz w:val="22"/>
              </w:rPr>
            </w:pPr>
            <w:r>
              <w:rPr>
                <w:w w:val="100"/>
                <w:sz w:val="22"/>
              </w:rPr>
              <w:t>2</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sz w:val="22"/>
              </w:rPr>
              <w:t>7.5</w:t>
            </w:r>
          </w:p>
        </w:tc>
        <w:tc>
          <w:tcPr>
            <w:tcW w:w="1042" w:type="dxa"/>
          </w:tcPr>
          <w:p>
            <w:pPr>
              <w:pStyle w:val="12"/>
              <w:spacing w:before="2"/>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2084" w:type="dxa"/>
          </w:tcPr>
          <w:p>
            <w:pPr>
              <w:pStyle w:val="12"/>
              <w:spacing w:before="3"/>
              <w:rPr>
                <w:sz w:val="22"/>
              </w:rPr>
            </w:pPr>
            <w:r>
              <w:rPr>
                <w:sz w:val="22"/>
              </w:rPr>
              <w:t>疫情防控卡点4</w:t>
            </w:r>
          </w:p>
          <w:p>
            <w:pPr>
              <w:pStyle w:val="12"/>
              <w:spacing w:before="1"/>
              <w:rPr>
                <w:sz w:val="22"/>
              </w:rPr>
            </w:pPr>
            <w:r>
              <w:rPr>
                <w:sz w:val="22"/>
              </w:rPr>
              <w:t>（6号楼卡扣早7：</w:t>
            </w:r>
          </w:p>
          <w:p>
            <w:pPr>
              <w:pStyle w:val="12"/>
              <w:spacing w:before="4" w:line="264" w:lineRule="exact"/>
              <w:rPr>
                <w:sz w:val="22"/>
              </w:rPr>
            </w:pPr>
            <w:r>
              <w:rPr>
                <w:sz w:val="22"/>
              </w:rPr>
              <w:t>00-24：00）</w:t>
            </w:r>
          </w:p>
        </w:tc>
        <w:tc>
          <w:tcPr>
            <w:tcW w:w="2084" w:type="dxa"/>
          </w:tcPr>
          <w:p>
            <w:pPr>
              <w:pStyle w:val="12"/>
              <w:spacing w:before="3"/>
              <w:ind w:left="106"/>
              <w:rPr>
                <w:sz w:val="22"/>
              </w:rPr>
            </w:pPr>
            <w:r>
              <w:rPr>
                <w:w w:val="100"/>
                <w:sz w:val="22"/>
              </w:rPr>
              <w:t>1</w:t>
            </w:r>
          </w:p>
        </w:tc>
        <w:tc>
          <w:tcPr>
            <w:tcW w:w="2084" w:type="dxa"/>
          </w:tcPr>
          <w:p>
            <w:pPr>
              <w:pStyle w:val="12"/>
              <w:spacing w:before="3"/>
              <w:ind w:left="108"/>
              <w:rPr>
                <w:sz w:val="22"/>
              </w:rPr>
            </w:pPr>
            <w:r>
              <w:rPr>
                <w:sz w:val="22"/>
              </w:rPr>
              <w:t>17</w:t>
            </w:r>
          </w:p>
        </w:tc>
        <w:tc>
          <w:tcPr>
            <w:tcW w:w="2084" w:type="dxa"/>
          </w:tcPr>
          <w:p>
            <w:pPr>
              <w:pStyle w:val="12"/>
              <w:spacing w:before="3"/>
              <w:rPr>
                <w:sz w:val="22"/>
              </w:rPr>
            </w:pPr>
            <w:r>
              <w:rPr>
                <w:sz w:val="22"/>
              </w:rPr>
              <w:t>2.5</w:t>
            </w:r>
          </w:p>
        </w:tc>
        <w:tc>
          <w:tcPr>
            <w:tcW w:w="1042" w:type="dxa"/>
          </w:tcPr>
          <w:p>
            <w:pPr>
              <w:pStyle w:val="12"/>
              <w:spacing w:before="3"/>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2084" w:type="dxa"/>
          </w:tcPr>
          <w:p>
            <w:pPr>
              <w:pStyle w:val="12"/>
              <w:spacing w:before="1"/>
              <w:rPr>
                <w:sz w:val="22"/>
              </w:rPr>
            </w:pPr>
            <w:r>
              <w:rPr>
                <w:sz w:val="22"/>
              </w:rPr>
              <w:t>疫情防控卡扣5</w:t>
            </w:r>
          </w:p>
          <w:p>
            <w:pPr>
              <w:pStyle w:val="12"/>
              <w:spacing w:before="3" w:line="280" w:lineRule="atLeast"/>
              <w:ind w:right="202"/>
              <w:rPr>
                <w:sz w:val="22"/>
              </w:rPr>
            </w:pPr>
            <w:r>
              <w:rPr>
                <w:sz w:val="22"/>
              </w:rPr>
              <w:t>（住院部车辆合同进入口处）</w:t>
            </w:r>
          </w:p>
        </w:tc>
        <w:tc>
          <w:tcPr>
            <w:tcW w:w="2084" w:type="dxa"/>
          </w:tcPr>
          <w:p>
            <w:pPr>
              <w:pStyle w:val="12"/>
              <w:spacing w:before="1"/>
              <w:ind w:left="106"/>
              <w:rPr>
                <w:sz w:val="22"/>
              </w:rPr>
            </w:pPr>
            <w:r>
              <w:rPr>
                <w:w w:val="100"/>
                <w:sz w:val="22"/>
              </w:rPr>
              <w:t>2</w:t>
            </w:r>
          </w:p>
        </w:tc>
        <w:tc>
          <w:tcPr>
            <w:tcW w:w="2084" w:type="dxa"/>
          </w:tcPr>
          <w:p>
            <w:pPr>
              <w:pStyle w:val="12"/>
              <w:spacing w:before="1"/>
              <w:ind w:left="108"/>
              <w:rPr>
                <w:sz w:val="22"/>
              </w:rPr>
            </w:pPr>
            <w:r>
              <w:rPr>
                <w:sz w:val="22"/>
              </w:rPr>
              <w:t>24</w:t>
            </w:r>
          </w:p>
        </w:tc>
        <w:tc>
          <w:tcPr>
            <w:tcW w:w="2084" w:type="dxa"/>
          </w:tcPr>
          <w:p>
            <w:pPr>
              <w:pStyle w:val="12"/>
              <w:spacing w:before="1"/>
              <w:rPr>
                <w:sz w:val="22"/>
              </w:rPr>
            </w:pPr>
            <w:r>
              <w:rPr>
                <w:sz w:val="22"/>
              </w:rPr>
              <w:t>7.5</w:t>
            </w:r>
          </w:p>
        </w:tc>
        <w:tc>
          <w:tcPr>
            <w:tcW w:w="1042" w:type="dxa"/>
          </w:tcPr>
          <w:p>
            <w:pPr>
              <w:pStyle w:val="12"/>
              <w:spacing w:before="1"/>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1" w:hRule="atLeast"/>
        </w:trPr>
        <w:tc>
          <w:tcPr>
            <w:tcW w:w="2084" w:type="dxa"/>
          </w:tcPr>
          <w:p>
            <w:pPr>
              <w:pStyle w:val="12"/>
              <w:spacing w:before="1"/>
              <w:rPr>
                <w:sz w:val="22"/>
              </w:rPr>
            </w:pPr>
            <w:r>
              <w:rPr>
                <w:sz w:val="22"/>
              </w:rPr>
              <w:t>疫情防控卡点6</w:t>
            </w:r>
          </w:p>
          <w:p>
            <w:pPr>
              <w:pStyle w:val="12"/>
              <w:spacing w:before="4" w:line="242" w:lineRule="auto"/>
              <w:ind w:right="202"/>
              <w:rPr>
                <w:sz w:val="22"/>
              </w:rPr>
            </w:pPr>
            <w:r>
              <w:rPr>
                <w:sz w:val="22"/>
              </w:rPr>
              <w:t>（急诊出口管控住院及陪客</w:t>
            </w:r>
          </w:p>
          <w:p>
            <w:pPr>
              <w:pStyle w:val="12"/>
              <w:spacing w:before="2" w:line="263" w:lineRule="exact"/>
              <w:rPr>
                <w:sz w:val="22"/>
              </w:rPr>
            </w:pPr>
            <w:r>
              <w:rPr>
                <w:sz w:val="22"/>
              </w:rPr>
              <w:t>出入）</w:t>
            </w:r>
          </w:p>
        </w:tc>
        <w:tc>
          <w:tcPr>
            <w:tcW w:w="2084" w:type="dxa"/>
          </w:tcPr>
          <w:p>
            <w:pPr>
              <w:pStyle w:val="12"/>
              <w:spacing w:before="1"/>
              <w:ind w:left="106"/>
              <w:rPr>
                <w:sz w:val="22"/>
              </w:rPr>
            </w:pPr>
            <w:r>
              <w:rPr>
                <w:w w:val="100"/>
                <w:sz w:val="22"/>
              </w:rPr>
              <w:t>1</w:t>
            </w:r>
          </w:p>
        </w:tc>
        <w:tc>
          <w:tcPr>
            <w:tcW w:w="2084" w:type="dxa"/>
          </w:tcPr>
          <w:p>
            <w:pPr>
              <w:pStyle w:val="12"/>
              <w:spacing w:before="1"/>
              <w:ind w:left="108"/>
              <w:rPr>
                <w:sz w:val="22"/>
              </w:rPr>
            </w:pPr>
            <w:r>
              <w:rPr>
                <w:sz w:val="22"/>
              </w:rPr>
              <w:t>16</w:t>
            </w:r>
          </w:p>
        </w:tc>
        <w:tc>
          <w:tcPr>
            <w:tcW w:w="2084" w:type="dxa"/>
          </w:tcPr>
          <w:p>
            <w:pPr>
              <w:pStyle w:val="12"/>
              <w:spacing w:before="1"/>
              <w:rPr>
                <w:sz w:val="22"/>
              </w:rPr>
            </w:pPr>
            <w:r>
              <w:rPr>
                <w:w w:val="100"/>
                <w:sz w:val="22"/>
              </w:rPr>
              <w:t>2</w:t>
            </w:r>
          </w:p>
        </w:tc>
        <w:tc>
          <w:tcPr>
            <w:tcW w:w="1042" w:type="dxa"/>
          </w:tcPr>
          <w:p>
            <w:pPr>
              <w:pStyle w:val="12"/>
              <w:spacing w:before="1"/>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084" w:type="dxa"/>
          </w:tcPr>
          <w:p>
            <w:pPr>
              <w:pStyle w:val="12"/>
              <w:spacing w:before="2"/>
              <w:rPr>
                <w:sz w:val="22"/>
              </w:rPr>
            </w:pPr>
            <w:r>
              <w:rPr>
                <w:sz w:val="22"/>
              </w:rPr>
              <w:t>感染科发热门诊</w:t>
            </w:r>
          </w:p>
        </w:tc>
        <w:tc>
          <w:tcPr>
            <w:tcW w:w="2084" w:type="dxa"/>
          </w:tcPr>
          <w:p>
            <w:pPr>
              <w:pStyle w:val="12"/>
              <w:spacing w:before="2"/>
              <w:ind w:left="106"/>
              <w:rPr>
                <w:sz w:val="22"/>
              </w:rPr>
            </w:pPr>
            <w:r>
              <w:rPr>
                <w:w w:val="100"/>
                <w:sz w:val="22"/>
              </w:rPr>
              <w:t>1</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sz w:val="22"/>
              </w:rPr>
              <w:t>3.5</w:t>
            </w:r>
          </w:p>
        </w:tc>
        <w:tc>
          <w:tcPr>
            <w:tcW w:w="1042" w:type="dxa"/>
          </w:tcPr>
          <w:p>
            <w:pPr>
              <w:pStyle w:val="12"/>
              <w:spacing w:before="2"/>
              <w:ind w:left="106"/>
              <w:rPr>
                <w:sz w:val="22"/>
              </w:rPr>
            </w:pPr>
            <w:r>
              <w:rPr>
                <w:sz w:val="22"/>
              </w:rPr>
              <w:t>普保2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2084" w:type="dxa"/>
          </w:tcPr>
          <w:p>
            <w:pPr>
              <w:pStyle w:val="12"/>
              <w:spacing w:before="1" w:line="266" w:lineRule="exact"/>
              <w:rPr>
                <w:sz w:val="22"/>
              </w:rPr>
            </w:pPr>
            <w:r>
              <w:rPr>
                <w:sz w:val="22"/>
              </w:rPr>
              <w:t>卫健局</w:t>
            </w:r>
          </w:p>
        </w:tc>
        <w:tc>
          <w:tcPr>
            <w:tcW w:w="2084" w:type="dxa"/>
          </w:tcPr>
          <w:p>
            <w:pPr>
              <w:pStyle w:val="12"/>
              <w:spacing w:before="1" w:line="266" w:lineRule="exact"/>
              <w:ind w:left="106"/>
              <w:rPr>
                <w:sz w:val="22"/>
              </w:rPr>
            </w:pPr>
            <w:r>
              <w:rPr>
                <w:w w:val="100"/>
                <w:sz w:val="22"/>
              </w:rPr>
              <w:t>1</w:t>
            </w:r>
          </w:p>
        </w:tc>
        <w:tc>
          <w:tcPr>
            <w:tcW w:w="2084" w:type="dxa"/>
          </w:tcPr>
          <w:p>
            <w:pPr>
              <w:pStyle w:val="12"/>
              <w:spacing w:before="1" w:line="266" w:lineRule="exact"/>
              <w:ind w:left="108"/>
              <w:rPr>
                <w:sz w:val="22"/>
              </w:rPr>
            </w:pPr>
            <w:r>
              <w:rPr>
                <w:w w:val="100"/>
                <w:sz w:val="22"/>
              </w:rPr>
              <w:t>8</w:t>
            </w:r>
          </w:p>
        </w:tc>
        <w:tc>
          <w:tcPr>
            <w:tcW w:w="2084" w:type="dxa"/>
          </w:tcPr>
          <w:p>
            <w:pPr>
              <w:pStyle w:val="12"/>
              <w:spacing w:before="1" w:line="266" w:lineRule="exact"/>
              <w:rPr>
                <w:sz w:val="22"/>
              </w:rPr>
            </w:pPr>
            <w:r>
              <w:rPr>
                <w:w w:val="100"/>
                <w:sz w:val="22"/>
              </w:rPr>
              <w:t>1</w:t>
            </w:r>
          </w:p>
        </w:tc>
        <w:tc>
          <w:tcPr>
            <w:tcW w:w="1042" w:type="dxa"/>
          </w:tcPr>
          <w:p>
            <w:pPr>
              <w:pStyle w:val="12"/>
              <w:spacing w:before="1" w:line="266" w:lineRule="exact"/>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2084" w:type="dxa"/>
          </w:tcPr>
          <w:p>
            <w:pPr>
              <w:pStyle w:val="12"/>
              <w:spacing w:before="2"/>
              <w:rPr>
                <w:sz w:val="22"/>
              </w:rPr>
            </w:pPr>
            <w:r>
              <w:rPr>
                <w:sz w:val="22"/>
              </w:rPr>
              <w:t>城西分院消控中心</w:t>
            </w:r>
          </w:p>
        </w:tc>
        <w:tc>
          <w:tcPr>
            <w:tcW w:w="2084" w:type="dxa"/>
          </w:tcPr>
          <w:p>
            <w:pPr>
              <w:pStyle w:val="12"/>
              <w:spacing w:before="2"/>
              <w:ind w:left="106"/>
              <w:rPr>
                <w:sz w:val="22"/>
              </w:rPr>
            </w:pPr>
            <w:r>
              <w:rPr>
                <w:w w:val="100"/>
                <w:sz w:val="22"/>
              </w:rPr>
              <w:t>1</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w w:val="100"/>
                <w:sz w:val="22"/>
              </w:rPr>
              <w:t>3</w:t>
            </w:r>
          </w:p>
        </w:tc>
        <w:tc>
          <w:tcPr>
            <w:tcW w:w="1042" w:type="dxa"/>
          </w:tcPr>
          <w:p>
            <w:pPr>
              <w:pStyle w:val="12"/>
              <w:spacing w:before="2"/>
              <w:ind w:left="106"/>
              <w:rPr>
                <w:sz w:val="22"/>
              </w:rPr>
            </w:pPr>
            <w:r>
              <w:rPr>
                <w:sz w:val="22"/>
              </w:rPr>
              <w:t>技工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084" w:type="dxa"/>
          </w:tcPr>
          <w:p>
            <w:pPr>
              <w:pStyle w:val="12"/>
              <w:spacing w:before="2"/>
              <w:rPr>
                <w:sz w:val="22"/>
              </w:rPr>
            </w:pPr>
            <w:r>
              <w:rPr>
                <w:sz w:val="22"/>
              </w:rPr>
              <w:t>城西分院</w:t>
            </w:r>
          </w:p>
        </w:tc>
        <w:tc>
          <w:tcPr>
            <w:tcW w:w="2084" w:type="dxa"/>
          </w:tcPr>
          <w:p>
            <w:pPr>
              <w:pStyle w:val="12"/>
              <w:spacing w:before="2"/>
              <w:ind w:left="106"/>
              <w:rPr>
                <w:sz w:val="22"/>
              </w:rPr>
            </w:pPr>
            <w:r>
              <w:rPr>
                <w:w w:val="100"/>
                <w:sz w:val="22"/>
              </w:rPr>
              <w:t>2</w:t>
            </w:r>
          </w:p>
        </w:tc>
        <w:tc>
          <w:tcPr>
            <w:tcW w:w="2084" w:type="dxa"/>
          </w:tcPr>
          <w:p>
            <w:pPr>
              <w:pStyle w:val="12"/>
              <w:spacing w:before="2"/>
              <w:ind w:left="108"/>
              <w:rPr>
                <w:sz w:val="22"/>
              </w:rPr>
            </w:pPr>
            <w:r>
              <w:rPr>
                <w:sz w:val="22"/>
              </w:rPr>
              <w:t>24</w:t>
            </w:r>
          </w:p>
        </w:tc>
        <w:tc>
          <w:tcPr>
            <w:tcW w:w="2084" w:type="dxa"/>
          </w:tcPr>
          <w:p>
            <w:pPr>
              <w:pStyle w:val="12"/>
              <w:spacing w:before="2"/>
              <w:rPr>
                <w:sz w:val="22"/>
              </w:rPr>
            </w:pPr>
            <w:r>
              <w:rPr>
                <w:sz w:val="22"/>
              </w:rPr>
              <w:t>7.5</w:t>
            </w:r>
          </w:p>
        </w:tc>
        <w:tc>
          <w:tcPr>
            <w:tcW w:w="1042" w:type="dxa"/>
          </w:tcPr>
          <w:p>
            <w:pPr>
              <w:pStyle w:val="12"/>
              <w:spacing w:before="2"/>
              <w:ind w:left="106"/>
              <w:rPr>
                <w:sz w:val="22"/>
              </w:rPr>
            </w:pPr>
            <w:r>
              <w:rPr>
                <w:sz w:val="22"/>
              </w:rPr>
              <w:t>普保1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084" w:type="dxa"/>
          </w:tcPr>
          <w:p>
            <w:pPr>
              <w:pStyle w:val="12"/>
              <w:spacing w:before="1"/>
              <w:rPr>
                <w:sz w:val="22"/>
              </w:rPr>
            </w:pPr>
            <w:r>
              <w:rPr>
                <w:sz w:val="22"/>
              </w:rPr>
              <w:t>合计</w:t>
            </w:r>
          </w:p>
        </w:tc>
        <w:tc>
          <w:tcPr>
            <w:tcW w:w="7294" w:type="dxa"/>
            <w:gridSpan w:val="4"/>
          </w:tcPr>
          <w:p>
            <w:pPr>
              <w:pStyle w:val="12"/>
              <w:spacing w:before="1"/>
              <w:ind w:left="106"/>
              <w:rPr>
                <w:sz w:val="22"/>
              </w:rPr>
            </w:pPr>
            <w:r>
              <w:rPr>
                <w:sz w:val="22"/>
              </w:rPr>
              <w:t>80人</w:t>
            </w:r>
          </w:p>
        </w:tc>
      </w:tr>
    </w:tbl>
    <w:p>
      <w:pPr>
        <w:spacing w:after="0"/>
        <w:rPr>
          <w:sz w:val="22"/>
        </w:rPr>
        <w:sectPr>
          <w:pgSz w:w="11910" w:h="16840"/>
          <w:pgMar w:top="920" w:right="420" w:bottom="280" w:left="0" w:header="720" w:footer="720" w:gutter="0"/>
          <w:cols w:space="720" w:num="1"/>
        </w:sectPr>
      </w:pPr>
    </w:p>
    <w:p>
      <w:pPr>
        <w:pStyle w:val="3"/>
        <w:rPr>
          <w:sz w:val="20"/>
        </w:rPr>
      </w:pPr>
    </w:p>
    <w:p>
      <w:pPr>
        <w:pStyle w:val="3"/>
        <w:spacing w:before="7"/>
        <w:rPr>
          <w:sz w:val="22"/>
        </w:rPr>
      </w:pPr>
    </w:p>
    <w:p>
      <w:pPr>
        <w:pStyle w:val="3"/>
        <w:spacing w:before="66" w:line="242" w:lineRule="auto"/>
        <w:ind w:left="1365" w:right="426"/>
      </w:pPr>
      <w:r>
        <w:rPr>
          <w:spacing w:val="-12"/>
        </w:rPr>
        <w:t>1</w:t>
      </w:r>
      <w:r>
        <w:rPr>
          <w:spacing w:val="-13"/>
        </w:rPr>
        <w:t xml:space="preserve">、保安队长及副队长：各一名，男性，具有丰富项目管理经验，有较强的工作能力和协调能力， </w:t>
      </w:r>
      <w:r>
        <w:rPr>
          <w:spacing w:val="-11"/>
        </w:rPr>
        <w:t>服从医院管理。</w:t>
      </w:r>
    </w:p>
    <w:p>
      <w:pPr>
        <w:pStyle w:val="3"/>
        <w:ind w:left="1365"/>
      </w:pPr>
      <w:r>
        <w:rPr>
          <w:spacing w:val="-12"/>
        </w:rPr>
        <w:t>2、特保队员：人数上班时间按以上需求表执行，男性，年龄</w:t>
      </w:r>
      <w:r>
        <w:rPr>
          <w:spacing w:val="-13"/>
        </w:rPr>
        <w:t>45</w:t>
      </w:r>
      <w:r>
        <w:rPr>
          <w:spacing w:val="-12"/>
        </w:rPr>
        <w:t>周岁以下，高中以上学历，身高1</w:t>
      </w:r>
      <w:r>
        <w:t>、</w:t>
      </w:r>
    </w:p>
    <w:p>
      <w:pPr>
        <w:pStyle w:val="3"/>
        <w:spacing w:before="5" w:line="242" w:lineRule="auto"/>
        <w:ind w:left="1365" w:right="438"/>
      </w:pPr>
      <w:r>
        <w:rPr>
          <w:spacing w:val="-13"/>
        </w:rPr>
        <w:t>70米以上，身体健康，持证上岗。(主要负责处理甲方的各种突发事件，消防巡查、治安巡查等如</w:t>
      </w:r>
      <w:r>
        <w:rPr>
          <w:spacing w:val="-12"/>
        </w:rPr>
        <w:t>纠纷、反恐防暴、灭火员“微型消防站”等)。</w:t>
      </w:r>
    </w:p>
    <w:p>
      <w:pPr>
        <w:pStyle w:val="3"/>
        <w:spacing w:before="3" w:line="242" w:lineRule="auto"/>
        <w:ind w:left="1365" w:right="102"/>
      </w:pPr>
      <w:r>
        <w:rPr>
          <w:spacing w:val="-12"/>
        </w:rPr>
        <w:t>3、普保1：人数及上班时间按以上需求表执行，男性，年龄50</w:t>
      </w:r>
      <w:r>
        <w:rPr>
          <w:spacing w:val="-13"/>
        </w:rPr>
        <w:t xml:space="preserve">周岁以下，身体健康，初中以上学历， </w:t>
      </w:r>
      <w:r>
        <w:rPr>
          <w:spacing w:val="-12"/>
        </w:rPr>
        <w:t>持证上岗。(主要负责甲方就诊秩序、来访人员登记等)。</w:t>
      </w:r>
    </w:p>
    <w:p>
      <w:pPr>
        <w:pStyle w:val="3"/>
        <w:spacing w:before="3" w:line="242" w:lineRule="auto"/>
        <w:ind w:left="1365" w:right="438"/>
      </w:pPr>
      <w:r>
        <w:rPr>
          <w:spacing w:val="-12"/>
        </w:rPr>
        <w:t>4、车辆管理员：人数及上班时间按以上需求表执行，男女不限，50</w:t>
      </w:r>
      <w:r>
        <w:rPr>
          <w:spacing w:val="-13"/>
        </w:rPr>
        <w:t>周岁以下，身体健康，持证上</w:t>
      </w:r>
      <w:r>
        <w:rPr>
          <w:spacing w:val="-12"/>
        </w:rPr>
        <w:t>岗。(主要负责甲方的车辆秩序，对进入甲方的车辆进行引导、疏通，确保消防通道畅通)。</w:t>
      </w:r>
    </w:p>
    <w:p>
      <w:pPr>
        <w:pStyle w:val="3"/>
        <w:spacing w:before="2" w:line="242" w:lineRule="auto"/>
        <w:ind w:left="1255" w:right="198" w:firstLine="110"/>
      </w:pPr>
      <w:r>
        <w:rPr>
          <w:spacing w:val="-12"/>
        </w:rPr>
        <w:t>5、消控值班员：人数及上班时间按以上需求表执行，年龄</w:t>
      </w:r>
      <w:r>
        <w:rPr>
          <w:rFonts w:hint="eastAsia"/>
          <w:spacing w:val="-13"/>
          <w:lang w:val="en-US" w:eastAsia="zh-CN"/>
        </w:rPr>
        <w:t>45</w:t>
      </w:r>
      <w:r>
        <w:rPr>
          <w:spacing w:val="-12"/>
        </w:rPr>
        <w:t>周岁以下，身体健康，持证上岗。(主要负责对甲方消控中心的规范管理，及时处理各种报警事项，熟练掌握监控设施操作，消防巡查)。 6、疫情防控卡口（普保2）：人数及上班时间按以上需求表执行，年龄</w:t>
      </w:r>
      <w:r>
        <w:rPr>
          <w:spacing w:val="-13"/>
        </w:rPr>
        <w:t>50</w:t>
      </w:r>
      <w:r>
        <w:rPr>
          <w:spacing w:val="-11"/>
        </w:rPr>
        <w:t>周岁以下，身体健康，初</w:t>
      </w:r>
    </w:p>
    <w:p>
      <w:pPr>
        <w:pStyle w:val="3"/>
        <w:spacing w:before="2"/>
        <w:ind w:left="1039"/>
      </w:pPr>
      <w:r>
        <w:t>中以上学历，持证上岗。按照疫情防控要求完成各项工作。</w:t>
      </w:r>
    </w:p>
    <w:p>
      <w:pPr>
        <w:pStyle w:val="3"/>
        <w:spacing w:before="5"/>
        <w:ind w:left="1365"/>
      </w:pPr>
      <w:r>
        <w:t>7、除按要求完成职责范围内工作外，还需严格执行完成院方派发的各种临时指令性工作。</w:t>
      </w:r>
    </w:p>
    <w:p>
      <w:pPr>
        <w:pStyle w:val="3"/>
      </w:pPr>
    </w:p>
    <w:p>
      <w:pPr>
        <w:pStyle w:val="3"/>
        <w:spacing w:before="3"/>
        <w:rPr>
          <w:sz w:val="25"/>
        </w:rPr>
      </w:pPr>
    </w:p>
    <w:p>
      <w:pPr>
        <w:pStyle w:val="3"/>
        <w:tabs>
          <w:tab w:val="left" w:leader="hyphen" w:pos="6259"/>
        </w:tabs>
        <w:spacing w:line="242" w:lineRule="auto"/>
        <w:ind w:left="1365" w:right="323"/>
      </w:pPr>
      <w:r>
        <w:rPr>
          <w:spacing w:val="-12"/>
        </w:rPr>
        <w:t>以上所有人员均须是公司合同员工，报价文件中《保安管理相关人员费用明细表》中“月</w:t>
      </w:r>
      <w:r>
        <w:t>工</w:t>
      </w:r>
      <w:r>
        <w:rPr>
          <w:spacing w:val="-3"/>
        </w:rPr>
        <w:t>资</w:t>
      </w:r>
      <w:r>
        <w:t>” 项</w:t>
      </w:r>
      <w:r>
        <w:rPr>
          <w:spacing w:val="-3"/>
        </w:rPr>
        <w:t>目</w:t>
      </w:r>
      <w:r>
        <w:t>必</w:t>
      </w:r>
      <w:r>
        <w:rPr>
          <w:spacing w:val="-3"/>
        </w:rPr>
        <w:t>须</w:t>
      </w:r>
      <w:r>
        <w:t>包</w:t>
      </w:r>
      <w:r>
        <w:rPr>
          <w:spacing w:val="-3"/>
        </w:rPr>
        <w:t>含</w:t>
      </w:r>
      <w:r>
        <w:t>员工</w:t>
      </w:r>
      <w:r>
        <w:rPr>
          <w:spacing w:val="-3"/>
        </w:rPr>
        <w:t>的</w:t>
      </w:r>
      <w:r>
        <w:t>养</w:t>
      </w:r>
      <w:r>
        <w:rPr>
          <w:spacing w:val="-3"/>
        </w:rPr>
        <w:t>老</w:t>
      </w:r>
      <w:r>
        <w:t>保险</w:t>
      </w:r>
      <w:r>
        <w:rPr>
          <w:spacing w:val="-3"/>
        </w:rPr>
        <w:t>、</w:t>
      </w:r>
      <w:r>
        <w:t>工</w:t>
      </w:r>
      <w:r>
        <w:rPr>
          <w:spacing w:val="-3"/>
        </w:rPr>
        <w:t>伤</w:t>
      </w:r>
      <w:r>
        <w:t>保</w:t>
      </w:r>
      <w:r>
        <w:rPr>
          <w:spacing w:val="-3"/>
        </w:rPr>
        <w:t>险</w:t>
      </w:r>
      <w:r>
        <w:t>、医</w:t>
      </w:r>
      <w:r>
        <w:rPr>
          <w:spacing w:val="-3"/>
        </w:rPr>
        <w:t>疗</w:t>
      </w:r>
      <w:r>
        <w:t>保</w:t>
      </w:r>
      <w:r>
        <w:rPr>
          <w:spacing w:val="-3"/>
        </w:rPr>
        <w:t>险</w:t>
      </w:r>
      <w:r>
        <w:t>、生</w:t>
      </w:r>
      <w:r>
        <w:rPr>
          <w:spacing w:val="-3"/>
        </w:rPr>
        <w:t>育</w:t>
      </w:r>
      <w:r>
        <w:t>保</w:t>
      </w:r>
      <w:r>
        <w:rPr>
          <w:spacing w:val="-3"/>
        </w:rPr>
        <w:t>险</w:t>
      </w:r>
      <w:r>
        <w:t>、</w:t>
      </w:r>
      <w:r>
        <w:rPr>
          <w:spacing w:val="-3"/>
        </w:rPr>
        <w:t>失</w:t>
      </w:r>
      <w:r>
        <w:t>业保</w:t>
      </w:r>
      <w:r>
        <w:rPr>
          <w:spacing w:val="-3"/>
        </w:rPr>
        <w:t>险</w:t>
      </w:r>
      <w:r>
        <w:t>。所</w:t>
      </w:r>
      <w:r>
        <w:rPr>
          <w:spacing w:val="-3"/>
        </w:rPr>
        <w:t>有</w:t>
      </w:r>
      <w:r>
        <w:t>安</w:t>
      </w:r>
      <w:r>
        <w:rPr>
          <w:spacing w:val="-3"/>
        </w:rPr>
        <w:t>保</w:t>
      </w:r>
      <w:r>
        <w:t>人</w:t>
      </w:r>
      <w:r>
        <w:rPr>
          <w:spacing w:val="-3"/>
        </w:rPr>
        <w:t>员</w:t>
      </w:r>
      <w:r>
        <w:t>平均</w:t>
      </w:r>
      <w:r>
        <w:rPr>
          <w:spacing w:val="-3"/>
        </w:rPr>
        <w:t>月</w:t>
      </w:r>
      <w:r>
        <w:t>工</w:t>
      </w:r>
      <w:r>
        <w:rPr>
          <w:spacing w:val="-3"/>
        </w:rPr>
        <w:t>资</w:t>
      </w:r>
      <w:r>
        <w:t>不</w:t>
      </w:r>
      <w:r>
        <w:rPr>
          <w:spacing w:val="-3"/>
        </w:rPr>
        <w:t>高</w:t>
      </w:r>
      <w:r>
        <w:t>于----元</w:t>
      </w:r>
      <w:r>
        <w:rPr>
          <w:spacing w:val="-3"/>
        </w:rPr>
        <w:t>/</w:t>
      </w:r>
      <w:r>
        <w:t>月</w:t>
      </w:r>
      <w:r>
        <w:rPr>
          <w:spacing w:val="-3"/>
        </w:rPr>
        <w:t>。</w:t>
      </w:r>
      <w:r>
        <w:t>总</w:t>
      </w:r>
      <w:r>
        <w:rPr>
          <w:spacing w:val="-3"/>
        </w:rPr>
        <w:t>价</w:t>
      </w:r>
      <w:r>
        <w:t>不</w:t>
      </w:r>
      <w:r>
        <w:rPr>
          <w:spacing w:val="-3"/>
        </w:rPr>
        <w:t>高</w:t>
      </w:r>
      <w:r>
        <w:t>于</w:t>
      </w:r>
      <w:r>
        <w:tab/>
      </w:r>
      <w:r>
        <w:t>元。</w:t>
      </w:r>
    </w:p>
    <w:sectPr>
      <w:pgSz w:w="11910" w:h="16840"/>
      <w:pgMar w:top="1600" w:right="42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2280" w:hanging="581"/>
        <w:jc w:val="righ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3201" w:hanging="581"/>
      </w:pPr>
      <w:rPr>
        <w:rFonts w:hint="default"/>
        <w:lang w:val="zh-CN" w:eastAsia="zh-CN" w:bidi="zh-CN"/>
      </w:rPr>
    </w:lvl>
    <w:lvl w:ilvl="2" w:tentative="0">
      <w:start w:val="0"/>
      <w:numFmt w:val="bullet"/>
      <w:lvlText w:val="•"/>
      <w:lvlJc w:val="left"/>
      <w:pPr>
        <w:ind w:left="4122" w:hanging="581"/>
      </w:pPr>
      <w:rPr>
        <w:rFonts w:hint="default"/>
        <w:lang w:val="zh-CN" w:eastAsia="zh-CN" w:bidi="zh-CN"/>
      </w:rPr>
    </w:lvl>
    <w:lvl w:ilvl="3" w:tentative="0">
      <w:start w:val="0"/>
      <w:numFmt w:val="bullet"/>
      <w:lvlText w:val="•"/>
      <w:lvlJc w:val="left"/>
      <w:pPr>
        <w:ind w:left="5043" w:hanging="581"/>
      </w:pPr>
      <w:rPr>
        <w:rFonts w:hint="default"/>
        <w:lang w:val="zh-CN" w:eastAsia="zh-CN" w:bidi="zh-CN"/>
      </w:rPr>
    </w:lvl>
    <w:lvl w:ilvl="4" w:tentative="0">
      <w:start w:val="0"/>
      <w:numFmt w:val="bullet"/>
      <w:lvlText w:val="•"/>
      <w:lvlJc w:val="left"/>
      <w:pPr>
        <w:ind w:left="5964" w:hanging="581"/>
      </w:pPr>
      <w:rPr>
        <w:rFonts w:hint="default"/>
        <w:lang w:val="zh-CN" w:eastAsia="zh-CN" w:bidi="zh-CN"/>
      </w:rPr>
    </w:lvl>
    <w:lvl w:ilvl="5" w:tentative="0">
      <w:start w:val="0"/>
      <w:numFmt w:val="bullet"/>
      <w:lvlText w:val="•"/>
      <w:lvlJc w:val="left"/>
      <w:pPr>
        <w:ind w:left="6885" w:hanging="581"/>
      </w:pPr>
      <w:rPr>
        <w:rFonts w:hint="default"/>
        <w:lang w:val="zh-CN" w:eastAsia="zh-CN" w:bidi="zh-CN"/>
      </w:rPr>
    </w:lvl>
    <w:lvl w:ilvl="6" w:tentative="0">
      <w:start w:val="0"/>
      <w:numFmt w:val="bullet"/>
      <w:lvlText w:val="•"/>
      <w:lvlJc w:val="left"/>
      <w:pPr>
        <w:ind w:left="7806" w:hanging="581"/>
      </w:pPr>
      <w:rPr>
        <w:rFonts w:hint="default"/>
        <w:lang w:val="zh-CN" w:eastAsia="zh-CN" w:bidi="zh-CN"/>
      </w:rPr>
    </w:lvl>
    <w:lvl w:ilvl="7" w:tentative="0">
      <w:start w:val="0"/>
      <w:numFmt w:val="bullet"/>
      <w:lvlText w:val="•"/>
      <w:lvlJc w:val="left"/>
      <w:pPr>
        <w:ind w:left="8727" w:hanging="581"/>
      </w:pPr>
      <w:rPr>
        <w:rFonts w:hint="default"/>
        <w:lang w:val="zh-CN" w:eastAsia="zh-CN" w:bidi="zh-CN"/>
      </w:rPr>
    </w:lvl>
    <w:lvl w:ilvl="8" w:tentative="0">
      <w:start w:val="0"/>
      <w:numFmt w:val="bullet"/>
      <w:lvlText w:val="•"/>
      <w:lvlJc w:val="left"/>
      <w:pPr>
        <w:ind w:left="9648" w:hanging="581"/>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2280" w:hanging="600"/>
        <w:jc w:val="left"/>
      </w:pPr>
      <w:rPr>
        <w:rFonts w:hint="default"/>
        <w:spacing w:val="-3"/>
        <w:w w:val="100"/>
        <w:lang w:val="zh-CN" w:eastAsia="zh-CN" w:bidi="zh-CN"/>
      </w:rPr>
    </w:lvl>
    <w:lvl w:ilvl="1" w:tentative="0">
      <w:start w:val="0"/>
      <w:numFmt w:val="bullet"/>
      <w:lvlText w:val="•"/>
      <w:lvlJc w:val="left"/>
      <w:pPr>
        <w:ind w:left="3201" w:hanging="600"/>
      </w:pPr>
      <w:rPr>
        <w:rFonts w:hint="default"/>
        <w:lang w:val="zh-CN" w:eastAsia="zh-CN" w:bidi="zh-CN"/>
      </w:rPr>
    </w:lvl>
    <w:lvl w:ilvl="2" w:tentative="0">
      <w:start w:val="0"/>
      <w:numFmt w:val="bullet"/>
      <w:lvlText w:val="•"/>
      <w:lvlJc w:val="left"/>
      <w:pPr>
        <w:ind w:left="4122" w:hanging="600"/>
      </w:pPr>
      <w:rPr>
        <w:rFonts w:hint="default"/>
        <w:lang w:val="zh-CN" w:eastAsia="zh-CN" w:bidi="zh-CN"/>
      </w:rPr>
    </w:lvl>
    <w:lvl w:ilvl="3" w:tentative="0">
      <w:start w:val="0"/>
      <w:numFmt w:val="bullet"/>
      <w:lvlText w:val="•"/>
      <w:lvlJc w:val="left"/>
      <w:pPr>
        <w:ind w:left="5043" w:hanging="600"/>
      </w:pPr>
      <w:rPr>
        <w:rFonts w:hint="default"/>
        <w:lang w:val="zh-CN" w:eastAsia="zh-CN" w:bidi="zh-CN"/>
      </w:rPr>
    </w:lvl>
    <w:lvl w:ilvl="4" w:tentative="0">
      <w:start w:val="0"/>
      <w:numFmt w:val="bullet"/>
      <w:lvlText w:val="•"/>
      <w:lvlJc w:val="left"/>
      <w:pPr>
        <w:ind w:left="5964" w:hanging="600"/>
      </w:pPr>
      <w:rPr>
        <w:rFonts w:hint="default"/>
        <w:lang w:val="zh-CN" w:eastAsia="zh-CN" w:bidi="zh-CN"/>
      </w:rPr>
    </w:lvl>
    <w:lvl w:ilvl="5" w:tentative="0">
      <w:start w:val="0"/>
      <w:numFmt w:val="bullet"/>
      <w:lvlText w:val="•"/>
      <w:lvlJc w:val="left"/>
      <w:pPr>
        <w:ind w:left="6885" w:hanging="600"/>
      </w:pPr>
      <w:rPr>
        <w:rFonts w:hint="default"/>
        <w:lang w:val="zh-CN" w:eastAsia="zh-CN" w:bidi="zh-CN"/>
      </w:rPr>
    </w:lvl>
    <w:lvl w:ilvl="6" w:tentative="0">
      <w:start w:val="0"/>
      <w:numFmt w:val="bullet"/>
      <w:lvlText w:val="•"/>
      <w:lvlJc w:val="left"/>
      <w:pPr>
        <w:ind w:left="7806" w:hanging="600"/>
      </w:pPr>
      <w:rPr>
        <w:rFonts w:hint="default"/>
        <w:lang w:val="zh-CN" w:eastAsia="zh-CN" w:bidi="zh-CN"/>
      </w:rPr>
    </w:lvl>
    <w:lvl w:ilvl="7" w:tentative="0">
      <w:start w:val="0"/>
      <w:numFmt w:val="bullet"/>
      <w:lvlText w:val="•"/>
      <w:lvlJc w:val="left"/>
      <w:pPr>
        <w:ind w:left="8727" w:hanging="600"/>
      </w:pPr>
      <w:rPr>
        <w:rFonts w:hint="default"/>
        <w:lang w:val="zh-CN" w:eastAsia="zh-CN" w:bidi="zh-CN"/>
      </w:rPr>
    </w:lvl>
    <w:lvl w:ilvl="8" w:tentative="0">
      <w:start w:val="0"/>
      <w:numFmt w:val="bullet"/>
      <w:lvlText w:val="•"/>
      <w:lvlJc w:val="left"/>
      <w:pPr>
        <w:ind w:left="9648" w:hanging="600"/>
      </w:pPr>
      <w:rPr>
        <w:rFonts w:hint="default"/>
        <w:lang w:val="zh-CN" w:eastAsia="zh-CN" w:bidi="zh-CN"/>
      </w:rPr>
    </w:lvl>
  </w:abstractNum>
  <w:abstractNum w:abstractNumId="2">
    <w:nsid w:val="EF76DC7D"/>
    <w:multiLevelType w:val="singleLevel"/>
    <w:tmpl w:val="EF76DC7D"/>
    <w:lvl w:ilvl="0" w:tentative="0">
      <w:start w:val="3"/>
      <w:numFmt w:val="chineseCounting"/>
      <w:suff w:val="nothing"/>
      <w:lvlText w:val="%1、"/>
      <w:lvlJc w:val="left"/>
      <w:rPr>
        <w:rFonts w:hint="eastAsia"/>
      </w:rPr>
    </w:lvl>
  </w:abstractNum>
  <w:abstractNum w:abstractNumId="3">
    <w:nsid w:val="0053208E"/>
    <w:multiLevelType w:val="multilevel"/>
    <w:tmpl w:val="0053208E"/>
    <w:lvl w:ilvl="0" w:tentative="0">
      <w:start w:val="1"/>
      <w:numFmt w:val="decimal"/>
      <w:lvlText w:val="（%1）"/>
      <w:lvlJc w:val="left"/>
      <w:pPr>
        <w:ind w:left="2280" w:hanging="600"/>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3201" w:hanging="600"/>
      </w:pPr>
      <w:rPr>
        <w:rFonts w:hint="default"/>
        <w:lang w:val="zh-CN" w:eastAsia="zh-CN" w:bidi="zh-CN"/>
      </w:rPr>
    </w:lvl>
    <w:lvl w:ilvl="2" w:tentative="0">
      <w:start w:val="0"/>
      <w:numFmt w:val="bullet"/>
      <w:lvlText w:val="•"/>
      <w:lvlJc w:val="left"/>
      <w:pPr>
        <w:ind w:left="4122" w:hanging="600"/>
      </w:pPr>
      <w:rPr>
        <w:rFonts w:hint="default"/>
        <w:lang w:val="zh-CN" w:eastAsia="zh-CN" w:bidi="zh-CN"/>
      </w:rPr>
    </w:lvl>
    <w:lvl w:ilvl="3" w:tentative="0">
      <w:start w:val="0"/>
      <w:numFmt w:val="bullet"/>
      <w:lvlText w:val="•"/>
      <w:lvlJc w:val="left"/>
      <w:pPr>
        <w:ind w:left="5043" w:hanging="600"/>
      </w:pPr>
      <w:rPr>
        <w:rFonts w:hint="default"/>
        <w:lang w:val="zh-CN" w:eastAsia="zh-CN" w:bidi="zh-CN"/>
      </w:rPr>
    </w:lvl>
    <w:lvl w:ilvl="4" w:tentative="0">
      <w:start w:val="0"/>
      <w:numFmt w:val="bullet"/>
      <w:lvlText w:val="•"/>
      <w:lvlJc w:val="left"/>
      <w:pPr>
        <w:ind w:left="5964" w:hanging="600"/>
      </w:pPr>
      <w:rPr>
        <w:rFonts w:hint="default"/>
        <w:lang w:val="zh-CN" w:eastAsia="zh-CN" w:bidi="zh-CN"/>
      </w:rPr>
    </w:lvl>
    <w:lvl w:ilvl="5" w:tentative="0">
      <w:start w:val="0"/>
      <w:numFmt w:val="bullet"/>
      <w:lvlText w:val="•"/>
      <w:lvlJc w:val="left"/>
      <w:pPr>
        <w:ind w:left="6885" w:hanging="600"/>
      </w:pPr>
      <w:rPr>
        <w:rFonts w:hint="default"/>
        <w:lang w:val="zh-CN" w:eastAsia="zh-CN" w:bidi="zh-CN"/>
      </w:rPr>
    </w:lvl>
    <w:lvl w:ilvl="6" w:tentative="0">
      <w:start w:val="0"/>
      <w:numFmt w:val="bullet"/>
      <w:lvlText w:val="•"/>
      <w:lvlJc w:val="left"/>
      <w:pPr>
        <w:ind w:left="7806" w:hanging="600"/>
      </w:pPr>
      <w:rPr>
        <w:rFonts w:hint="default"/>
        <w:lang w:val="zh-CN" w:eastAsia="zh-CN" w:bidi="zh-CN"/>
      </w:rPr>
    </w:lvl>
    <w:lvl w:ilvl="7" w:tentative="0">
      <w:start w:val="0"/>
      <w:numFmt w:val="bullet"/>
      <w:lvlText w:val="•"/>
      <w:lvlJc w:val="left"/>
      <w:pPr>
        <w:ind w:left="8727" w:hanging="600"/>
      </w:pPr>
      <w:rPr>
        <w:rFonts w:hint="default"/>
        <w:lang w:val="zh-CN" w:eastAsia="zh-CN" w:bidi="zh-CN"/>
      </w:rPr>
    </w:lvl>
    <w:lvl w:ilvl="8" w:tentative="0">
      <w:start w:val="0"/>
      <w:numFmt w:val="bullet"/>
      <w:lvlText w:val="•"/>
      <w:lvlJc w:val="left"/>
      <w:pPr>
        <w:ind w:left="9648" w:hanging="600"/>
      </w:pPr>
      <w:rPr>
        <w:rFonts w:hint="default"/>
        <w:lang w:val="zh-CN" w:eastAsia="zh-CN" w:bidi="zh-CN"/>
      </w:rPr>
    </w:lvl>
  </w:abstractNum>
  <w:abstractNum w:abstractNumId="4">
    <w:nsid w:val="006C4E0E"/>
    <w:multiLevelType w:val="singleLevel"/>
    <w:tmpl w:val="006C4E0E"/>
    <w:lvl w:ilvl="0" w:tentative="0">
      <w:start w:val="4"/>
      <w:numFmt w:val="chineseCounting"/>
      <w:suff w:val="nothing"/>
      <w:lvlText w:val="%1、"/>
      <w:lvlJc w:val="left"/>
      <w:rPr>
        <w:rFonts w:hint="eastAsia"/>
      </w:rPr>
    </w:lvl>
  </w:abstractNum>
  <w:abstractNum w:abstractNumId="5">
    <w:nsid w:val="27AF5C82"/>
    <w:multiLevelType w:val="singleLevel"/>
    <w:tmpl w:val="27AF5C82"/>
    <w:lvl w:ilvl="0" w:tentative="0">
      <w:start w:val="3"/>
      <w:numFmt w:val="chineseCounting"/>
      <w:suff w:val="nothing"/>
      <w:lvlText w:val="（%1）"/>
      <w:lvlJc w:val="left"/>
      <w:rPr>
        <w:rFonts w:hint="eastAsia"/>
      </w:rPr>
    </w:lvl>
  </w:abstractNum>
  <w:abstractNum w:abstractNumId="6">
    <w:nsid w:val="59ADCABA"/>
    <w:multiLevelType w:val="multilevel"/>
    <w:tmpl w:val="59ADCABA"/>
    <w:lvl w:ilvl="0" w:tentative="0">
      <w:start w:val="1"/>
      <w:numFmt w:val="decimal"/>
      <w:lvlText w:val="（%1）"/>
      <w:lvlJc w:val="left"/>
      <w:pPr>
        <w:ind w:left="1260" w:hanging="601"/>
        <w:jc w:val="left"/>
      </w:pPr>
      <w:rPr>
        <w:rFonts w:hint="default" w:ascii="宋体" w:hAnsi="宋体" w:eastAsia="宋体" w:cs="宋体"/>
        <w:spacing w:val="-92"/>
        <w:w w:val="100"/>
        <w:sz w:val="22"/>
        <w:szCs w:val="22"/>
        <w:lang w:val="zh-CN" w:eastAsia="zh-CN" w:bidi="zh-CN"/>
      </w:rPr>
    </w:lvl>
    <w:lvl w:ilvl="1" w:tentative="0">
      <w:start w:val="0"/>
      <w:numFmt w:val="bullet"/>
      <w:lvlText w:val="•"/>
      <w:lvlJc w:val="left"/>
      <w:pPr>
        <w:ind w:left="2283" w:hanging="601"/>
      </w:pPr>
      <w:rPr>
        <w:rFonts w:hint="default"/>
        <w:lang w:val="zh-CN" w:eastAsia="zh-CN" w:bidi="zh-CN"/>
      </w:rPr>
    </w:lvl>
    <w:lvl w:ilvl="2" w:tentative="0">
      <w:start w:val="0"/>
      <w:numFmt w:val="bullet"/>
      <w:lvlText w:val="•"/>
      <w:lvlJc w:val="left"/>
      <w:pPr>
        <w:ind w:left="3306" w:hanging="601"/>
      </w:pPr>
      <w:rPr>
        <w:rFonts w:hint="default"/>
        <w:lang w:val="zh-CN" w:eastAsia="zh-CN" w:bidi="zh-CN"/>
      </w:rPr>
    </w:lvl>
    <w:lvl w:ilvl="3" w:tentative="0">
      <w:start w:val="0"/>
      <w:numFmt w:val="bullet"/>
      <w:lvlText w:val="•"/>
      <w:lvlJc w:val="left"/>
      <w:pPr>
        <w:ind w:left="4329" w:hanging="601"/>
      </w:pPr>
      <w:rPr>
        <w:rFonts w:hint="default"/>
        <w:lang w:val="zh-CN" w:eastAsia="zh-CN" w:bidi="zh-CN"/>
      </w:rPr>
    </w:lvl>
    <w:lvl w:ilvl="4" w:tentative="0">
      <w:start w:val="0"/>
      <w:numFmt w:val="bullet"/>
      <w:lvlText w:val="•"/>
      <w:lvlJc w:val="left"/>
      <w:pPr>
        <w:ind w:left="5352" w:hanging="601"/>
      </w:pPr>
      <w:rPr>
        <w:rFonts w:hint="default"/>
        <w:lang w:val="zh-CN" w:eastAsia="zh-CN" w:bidi="zh-CN"/>
      </w:rPr>
    </w:lvl>
    <w:lvl w:ilvl="5" w:tentative="0">
      <w:start w:val="0"/>
      <w:numFmt w:val="bullet"/>
      <w:lvlText w:val="•"/>
      <w:lvlJc w:val="left"/>
      <w:pPr>
        <w:ind w:left="6375" w:hanging="601"/>
      </w:pPr>
      <w:rPr>
        <w:rFonts w:hint="default"/>
        <w:lang w:val="zh-CN" w:eastAsia="zh-CN" w:bidi="zh-CN"/>
      </w:rPr>
    </w:lvl>
    <w:lvl w:ilvl="6" w:tentative="0">
      <w:start w:val="0"/>
      <w:numFmt w:val="bullet"/>
      <w:lvlText w:val="•"/>
      <w:lvlJc w:val="left"/>
      <w:pPr>
        <w:ind w:left="7398" w:hanging="601"/>
      </w:pPr>
      <w:rPr>
        <w:rFonts w:hint="default"/>
        <w:lang w:val="zh-CN" w:eastAsia="zh-CN" w:bidi="zh-CN"/>
      </w:rPr>
    </w:lvl>
    <w:lvl w:ilvl="7" w:tentative="0">
      <w:start w:val="0"/>
      <w:numFmt w:val="bullet"/>
      <w:lvlText w:val="•"/>
      <w:lvlJc w:val="left"/>
      <w:pPr>
        <w:ind w:left="8421" w:hanging="601"/>
      </w:pPr>
      <w:rPr>
        <w:rFonts w:hint="default"/>
        <w:lang w:val="zh-CN" w:eastAsia="zh-CN" w:bidi="zh-CN"/>
      </w:rPr>
    </w:lvl>
    <w:lvl w:ilvl="8" w:tentative="0">
      <w:start w:val="0"/>
      <w:numFmt w:val="bullet"/>
      <w:lvlText w:val="•"/>
      <w:lvlJc w:val="left"/>
      <w:pPr>
        <w:ind w:left="9444" w:hanging="601"/>
      </w:pPr>
      <w:rPr>
        <w:rFonts w:hint="default"/>
        <w:lang w:val="zh-CN" w:eastAsia="zh-CN" w:bidi="zh-CN"/>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1667B5B"/>
    <w:rsid w:val="350920B5"/>
    <w:rsid w:val="5891046E"/>
    <w:rsid w:val="5F41322D"/>
    <w:rsid w:val="7E5425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1680"/>
      <w:outlineLvl w:val="1"/>
    </w:pPr>
    <w:rPr>
      <w:rFonts w:ascii="宋体" w:hAnsi="宋体" w:eastAsia="宋体" w:cs="宋体"/>
      <w:b/>
      <w:bCs/>
      <w:sz w:val="24"/>
      <w:szCs w:val="24"/>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Cs w:val="22"/>
    </w:rPr>
  </w:style>
  <w:style w:type="paragraph" w:styleId="3">
    <w:name w:val="Body Text"/>
    <w:basedOn w:val="1"/>
    <w:qFormat/>
    <w:uiPriority w:val="1"/>
    <w:rPr>
      <w:rFonts w:ascii="宋体" w:hAnsi="宋体" w:eastAsia="宋体" w:cs="宋体"/>
      <w:sz w:val="24"/>
      <w:szCs w:val="24"/>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79" w:firstLine="420"/>
    </w:pPr>
    <w:rPr>
      <w:rFonts w:ascii="宋体" w:hAnsi="宋体" w:eastAsia="宋体" w:cs="宋体"/>
      <w:lang w:val="zh-CN" w:eastAsia="zh-CN" w:bidi="zh-CN"/>
    </w:rPr>
  </w:style>
  <w:style w:type="paragraph" w:customStyle="1" w:styleId="12">
    <w:name w:val="Table Paragraph"/>
    <w:basedOn w:val="1"/>
    <w:qFormat/>
    <w:uiPriority w:val="1"/>
    <w:pPr>
      <w:ind w:left="107"/>
    </w:pPr>
    <w:rPr>
      <w:rFonts w:ascii="宋体" w:hAnsi="宋体" w:eastAsia="宋体" w:cs="宋体"/>
      <w:lang w:val="zh-CN" w:eastAsia="zh-CN" w:bidi="zh-CN"/>
    </w:rPr>
  </w:style>
  <w:style w:type="paragraph" w:customStyle="1" w:styleId="1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2021-09-06T12:16:00Z</dcterms:created>
  <dc:creator>Administrator</dc:creator>
  <cp:lastModifiedBy>Administrator</cp:lastModifiedBy>
  <dcterms:modified xsi:type="dcterms:W3CDTF">2021-09-26T06:02:14Z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2021-09-04T00:00:00Z</vt:filetime>
  </property>
  <property fmtid="{D5CDD505-2E9C-101B-9397-08002B2CF9AE}" pid="3" name="Creator">
    <vt:lpwstr>WPS 文字</vt:lpwstr>
  </property>
  <property fmtid="{D5CDD505-2E9C-101B-9397-08002B2CF9AE}" pid="4" name="LastSaved">
    <vt:filetime>2021-09-06T00:00:00Z</vt:filetime>
  </property>
  <property fmtid="{D5CDD505-2E9C-101B-9397-08002B2CF9AE}" pid="5" name="KSOProductBuildVer">
    <vt:lpwstr>2052-11.1.0.10700</vt:lpwstr>
  </property>
  <property fmtid="{D5CDD505-2E9C-101B-9397-08002B2CF9AE}" pid="6" name="ICV">
    <vt:lpwstr>AA9829C558774B748201BBD2E49BAE06</vt:lpwstr>
  </property>
</Properties>
</file>