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采购需求</w:t>
      </w:r>
      <w:bookmarkStart w:id="1" w:name="_GoBack"/>
      <w:bookmarkEnd w:id="1"/>
    </w:p>
    <w:p>
      <w:pPr>
        <w:pStyle w:val="7"/>
        <w:spacing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一、</w:t>
      </w:r>
      <w:bookmarkStart w:id="0" w:name="_Hlk91519282"/>
      <w:r>
        <w:rPr>
          <w:rFonts w:hint="eastAsia" w:ascii="仿宋" w:hAnsi="仿宋" w:eastAsia="仿宋" w:cs="仿宋"/>
          <w:b/>
          <w:bCs/>
          <w:sz w:val="24"/>
          <w:lang w:eastAsia="zh-CN"/>
        </w:rPr>
        <w:t>采购清单</w:t>
      </w:r>
    </w:p>
    <w:bookmarkEnd w:id="0"/>
    <w:tbl>
      <w:tblPr>
        <w:tblStyle w:val="13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299"/>
        <w:gridCol w:w="1445"/>
        <w:gridCol w:w="176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技术要求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详见附件一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一年用量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联想M650同档次或以上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显示器（29寸）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详见附件二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一年用量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显示器（21.5寸）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详见附件三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一年用量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笔记本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详见附件四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一年用量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联想/华为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宋体" w:hAnsi="宋体"/>
          <w:b/>
        </w:rPr>
      </w:pPr>
    </w:p>
    <w:p>
      <w:pPr>
        <w:pStyle w:val="8"/>
        <w:rPr>
          <w:rFonts w:hint="eastAsia"/>
          <w:lang w:val="en-US" w:eastAsia="zh-CN"/>
        </w:rPr>
      </w:pPr>
      <w:r>
        <w:rPr>
          <w:rFonts w:hint="eastAsia" w:hAnsi="宋体"/>
          <w:b/>
          <w:lang w:val="en-US" w:eastAsia="zh-CN"/>
        </w:rPr>
        <w:t>附件一（台式电脑）：</w:t>
      </w:r>
    </w:p>
    <w:tbl>
      <w:tblPr>
        <w:tblStyle w:val="12"/>
        <w:tblW w:w="885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 目</w:t>
            </w:r>
          </w:p>
        </w:tc>
        <w:tc>
          <w:tcPr>
            <w:tcW w:w="7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技术规格要求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Intel® Core I5-12500处理器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主板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Intel 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系列及以上芯片组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内存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8G DDR4 3200MHz 内存，提供双内存槽位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显卡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集成显卡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声卡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集成声卡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硬盘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512G M.2 NVME 固态硬盘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网卡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集成10/100/1000M以太网卡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键盘、鼠标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原厂防水键盘、抗菌鼠标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接口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个USB接口、VGA+HDMI接口；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机箱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标准立式机箱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显示器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≥23.8寸显示器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7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年上门服务</w:t>
            </w:r>
          </w:p>
        </w:tc>
      </w:tr>
    </w:tbl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附件二（显示器）：</w:t>
      </w:r>
    </w:p>
    <w:tbl>
      <w:tblPr>
        <w:tblStyle w:val="12"/>
        <w:tblW w:w="516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7001"/>
      </w:tblGrid>
      <w:tr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"https://detail.zol.com.cn/lcd/s2539/"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1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广视角显示器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"https://detail.zol.com.cn/lcd/s6058/"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1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护眼显示器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屏幕尺寸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29寸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最佳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2560*1080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屏幕比例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21:9（超宽屏）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面板类型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IPS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静态对比度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可视角度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178/178度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亮度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250cd/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接口类型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HDMI，VGA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机身颜色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黑色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质保时间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年上门服务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pStyle w:val="9"/>
        <w:ind w:left="0" w:leftChars="0" w:firstLine="0" w:firstLineChars="0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附件</w:t>
      </w:r>
      <w:r>
        <w:rPr>
          <w:rFonts w:hint="eastAsia"/>
          <w:b/>
          <w:bCs/>
          <w:sz w:val="24"/>
          <w:szCs w:val="32"/>
          <w:lang w:val="en-US" w:eastAsia="zh-CN"/>
        </w:rPr>
        <w:t>三</w:t>
      </w:r>
      <w:r>
        <w:rPr>
          <w:rFonts w:hint="eastAsia"/>
          <w:b/>
          <w:bCs/>
          <w:sz w:val="24"/>
          <w:szCs w:val="32"/>
          <w:lang w:eastAsia="zh-CN"/>
        </w:rPr>
        <w:t>（显示器）：</w:t>
      </w:r>
    </w:p>
    <w:tbl>
      <w:tblPr>
        <w:tblStyle w:val="12"/>
        <w:tblW w:w="516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7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"https://detail.zol.com.cn/lcd/s2539/"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1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广视角显示器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"https://detail.zol.com.cn/lcd/s6058/"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1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护眼显示器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屏幕尺寸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21.5寸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接口类型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HDMI，VGA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机身颜色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黑色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质保时间</w:t>
            </w:r>
          </w:p>
        </w:tc>
        <w:tc>
          <w:tcPr>
            <w:tcW w:w="39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年上门服务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9"/>
        <w:ind w:left="0" w:leftChars="0" w:firstLine="0" w:firstLineChars="0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附件</w:t>
      </w:r>
      <w:r>
        <w:rPr>
          <w:rFonts w:hint="eastAsia"/>
          <w:b/>
          <w:bCs/>
          <w:sz w:val="24"/>
          <w:szCs w:val="32"/>
          <w:lang w:val="en-US" w:eastAsia="zh-CN"/>
        </w:rPr>
        <w:t>四</w:t>
      </w:r>
      <w:r>
        <w:rPr>
          <w:rFonts w:hint="eastAsia"/>
          <w:b/>
          <w:bCs/>
          <w:sz w:val="24"/>
          <w:szCs w:val="32"/>
          <w:lang w:eastAsia="zh-CN"/>
        </w:rPr>
        <w:t>（笔记本）：</w:t>
      </w:r>
    </w:p>
    <w:tbl>
      <w:tblPr>
        <w:tblStyle w:val="12"/>
        <w:tblW w:w="893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项 目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技术规格要求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CPU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Intel® I7-1255U处理器及以上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内存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G DDR5 内存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硬盘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1T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SSD硬盘 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14”液晶显示屏（1920x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1080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），更加牢固、美观、耐用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显卡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集成显卡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网卡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802.11 AX无线网卡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键盘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防泼溅键盘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摄像头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720P高清摄像头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配置 Windows 11位操作系统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提供三年上门服务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17"/>
        <w:rPr>
          <w:rFonts w:hint="eastAsia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质量及服务要求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" w:hAnsi="仿宋" w:eastAsia="仿宋" w:cs="仿宋"/>
          <w:snapToGrid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、提供的产品须保证质量，不得提供假冒伪劣产品，即提供的产品保证为原厂原装正品、全新的，不得私自拆开或重新包装。如发现假货，以次充好，如发现有非正品则以一罚十，采购人且有权无条件终止合同。所投产品需质保3年及以上，质保业主需为浙江省杭州市临安区第一人民医院。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" w:hAnsi="仿宋" w:eastAsia="仿宋" w:cs="仿宋"/>
          <w:snapToGrid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2、投标人须提供 7×24 小时技术支持，对用户的服务要求应在 1 小时内响应；工作日要求安排至少1位驻场人员，参加本项目的驻场服务人员需遵守医院的规章制度，遵循医院相关工作流程。投标驻场人员的配置名单项目实施前，服务方须提交驻场人员的资料交由医院审核；驻场项目经理和其他驻场人员未经院方同意，不得私自撤离和随意更换。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总供货期内需提供</w:t>
      </w:r>
      <w:r>
        <w:rPr>
          <w:rFonts w:hint="eastAsia" w:ascii="仿宋" w:hAnsi="仿宋" w:eastAsia="仿宋" w:cs="仿宋"/>
          <w:color w:val="000000" w:themeColor="text1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办公设备的日常维修服务，维护内容包括：设备耗材及配件的更换、调试；台式电脑、笔记本电脑、平板电脑、扫描仪、投影仪等设备出现的软硬件故障检测、维修；电脑、扫描仪等设备的系统升级、重装、驱动安装等；单位人员新增或办公地点变更，涉及到的电脑等设备的组装、拆移、网络接入及设置等。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设备因维修所产生的零部件更换，如未列入本次采购清单（附件）的，按实际产生费用结算。采购清单外的零部件更换价格，应充分参考政采云网上超市、京东商城、天猫商城等网上商城价格，不得高于市场平均价。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4、中标人交货时须填写完整的送货单，送货单中应标明货物名称、品牌型号、价格、数量、送货时间、送货人签名等。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ascii="仿宋" w:hAnsi="仿宋" w:eastAsia="仿宋" w:cs="仿宋"/>
          <w:strike w:val="0"/>
          <w:snapToGrid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" w:hAnsi="仿宋" w:eastAsia="仿宋" w:cs="仿宋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color w:val="000000" w:themeColor="text1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所供货物须确保包装完好无损，对于包装损坏或采购人认为可能已开封过的货物，采购人有权拒收。同时采购人有权采取抽样的方式对所供货物进行抽检，抽检率不低于20%，抽检方式可采用官网核对、总代询问等采购人认为有效的方式。</w:t>
      </w:r>
    </w:p>
    <w:p>
      <w:pPr>
        <w:pStyle w:val="4"/>
        <w:rPr>
          <w:rFonts w:ascii="仿宋" w:hAnsi="仿宋" w:eastAsia="仿宋" w:cs="仿宋"/>
          <w:b/>
          <w:bCs/>
          <w:snapToGrid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三、履约期 </w:t>
      </w:r>
    </w:p>
    <w:p>
      <w:pPr>
        <w:pStyle w:val="4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kinsoku w:val="0"/>
        <w:overflowPunct w:val="0"/>
        <w:spacing w:line="360" w:lineRule="exact"/>
        <w:ind w:firstLine="480" w:firstLineChars="200"/>
        <w:rPr>
          <w:rFonts w:ascii="仿宋" w:hAnsi="仿宋" w:eastAsia="仿宋" w:cs="仿宋"/>
          <w:color w:val="000000" w:themeColor="text1"/>
          <w:kern w:val="0"/>
          <w:szCs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总供货期：合同签订后一年，单批次交货指令发出后下一个工作日内货到指定地点。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MGMyZDMyMGJjMGMyMzJmMzcyZDRjYTQ5MjY4M2UifQ=="/>
  </w:docVars>
  <w:rsids>
    <w:rsidRoot w:val="1F2741DB"/>
    <w:rsid w:val="002707E3"/>
    <w:rsid w:val="01527EDF"/>
    <w:rsid w:val="05212B27"/>
    <w:rsid w:val="0B4E021A"/>
    <w:rsid w:val="0DDF6F9F"/>
    <w:rsid w:val="100B407B"/>
    <w:rsid w:val="13840341"/>
    <w:rsid w:val="18EF72F2"/>
    <w:rsid w:val="1D570900"/>
    <w:rsid w:val="1F2741DB"/>
    <w:rsid w:val="1F372797"/>
    <w:rsid w:val="29BA1071"/>
    <w:rsid w:val="2DED4EA5"/>
    <w:rsid w:val="300246FB"/>
    <w:rsid w:val="34891BB7"/>
    <w:rsid w:val="353331AB"/>
    <w:rsid w:val="3A4F678F"/>
    <w:rsid w:val="3D88597B"/>
    <w:rsid w:val="3DDD4649"/>
    <w:rsid w:val="43496273"/>
    <w:rsid w:val="4E003905"/>
    <w:rsid w:val="4F28270C"/>
    <w:rsid w:val="50A94104"/>
    <w:rsid w:val="54307E41"/>
    <w:rsid w:val="54CE5420"/>
    <w:rsid w:val="560667DC"/>
    <w:rsid w:val="605D1356"/>
    <w:rsid w:val="60B939DC"/>
    <w:rsid w:val="64713622"/>
    <w:rsid w:val="67890B56"/>
    <w:rsid w:val="6A164324"/>
    <w:rsid w:val="6F6A75EB"/>
    <w:rsid w:val="7C346CF8"/>
    <w:rsid w:val="7FE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pacing w:line="360" w:lineRule="auto"/>
      <w:jc w:val="center"/>
      <w:outlineLvl w:val="0"/>
    </w:pPr>
    <w:rPr>
      <w:rFonts w:ascii="Arial" w:hAnsi="Arial" w:eastAsia="华文中宋"/>
      <w:b/>
      <w:color w:val="000000"/>
      <w:sz w:val="32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customStyle="1" w:styleId="5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Body Text Indent"/>
    <w:basedOn w:val="1"/>
    <w:next w:val="7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7">
    <w:name w:val="Body Text First Indent 2"/>
    <w:basedOn w:val="6"/>
    <w:next w:val="8"/>
    <w:autoRedefine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paragraph" w:styleId="8">
    <w:name w:val="Body Text First Indent"/>
    <w:basedOn w:val="4"/>
    <w:next w:val="9"/>
    <w:autoRedefine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9">
    <w:name w:val="toc 6"/>
    <w:basedOn w:val="1"/>
    <w:next w:val="1"/>
    <w:autoRedefine/>
    <w:qFormat/>
    <w:uiPriority w:val="0"/>
    <w:pPr>
      <w:ind w:left="2100" w:leftChars="1000"/>
    </w:pPr>
  </w:style>
  <w:style w:type="paragraph" w:styleId="10">
    <w:name w:val="Plain Text"/>
    <w:basedOn w:val="1"/>
    <w:next w:val="1"/>
    <w:autoRedefine/>
    <w:qFormat/>
    <w:uiPriority w:val="0"/>
    <w:rPr>
      <w:rFonts w:ascii="宋体" w:hAnsi="Courier New" w:cs="Arial"/>
      <w:snapToGrid w:val="0"/>
      <w:szCs w:val="21"/>
    </w:rPr>
  </w:style>
  <w:style w:type="paragraph" w:styleId="11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autoRedefine/>
    <w:qFormat/>
    <w:uiPriority w:val="0"/>
    <w:rPr>
      <w:i/>
    </w:rPr>
  </w:style>
  <w:style w:type="character" w:styleId="16">
    <w:name w:val="Hyperlink"/>
    <w:basedOn w:val="14"/>
    <w:autoRedefine/>
    <w:qFormat/>
    <w:uiPriority w:val="0"/>
    <w:rPr>
      <w:color w:val="0000FF"/>
      <w:u w:val="single"/>
    </w:rPr>
  </w:style>
  <w:style w:type="paragraph" w:customStyle="1" w:styleId="17">
    <w:name w:val="首行缩进"/>
    <w:basedOn w:val="1"/>
    <w:autoRedefine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paragraph" w:styleId="18">
    <w:name w:val="List Paragraph"/>
    <w:basedOn w:val="1"/>
    <w:autoRedefine/>
    <w:qFormat/>
    <w:uiPriority w:val="34"/>
    <w:pPr>
      <w:spacing w:line="360" w:lineRule="auto"/>
      <w:ind w:firstLine="200" w:firstLineChars="200"/>
    </w:pPr>
    <w:rPr>
      <w:rFonts w:eastAsia="楷体_GB2312" w:cs="Lucida Sans"/>
      <w:sz w:val="24"/>
    </w:rPr>
  </w:style>
  <w:style w:type="character" w:customStyle="1" w:styleId="19">
    <w:name w:val="eop"/>
    <w:basedOn w:val="14"/>
    <w:autoRedefine/>
    <w:qFormat/>
    <w:uiPriority w:val="0"/>
  </w:style>
  <w:style w:type="paragraph" w:customStyle="1" w:styleId="20">
    <w:name w:val="2级"/>
    <w:basedOn w:val="3"/>
    <w:autoRedefine/>
    <w:qFormat/>
    <w:uiPriority w:val="0"/>
    <w:pPr>
      <w:tabs>
        <w:tab w:val="left" w:pos="284"/>
        <w:tab w:val="left" w:pos="1440"/>
        <w:tab w:val="left" w:pos="2411"/>
      </w:tabs>
      <w:snapToGrid/>
      <w:spacing w:beforeLines="50" w:after="260" w:line="360" w:lineRule="auto"/>
      <w:ind w:left="1440" w:right="100" w:rightChars="100" w:firstLine="0" w:firstLineChars="0"/>
      <w:jc w:val="left"/>
    </w:pPr>
    <w:rPr>
      <w:rFonts w:ascii="Cambria" w:hAnsi="Cambria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2023-12-01T02:46:00Z</dcterms:created>
  <dc:creator>Cc</dc:creator>
  <cp:lastModifiedBy>cgzx</cp:lastModifiedBy>
  <cp:lastPrinted>2023-12-11T05:47:00Z</cp:lastPrinted>
  <dcterms:modified xsi:type="dcterms:W3CDTF">2024-01-03T00:21:24Z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0156EFC414D047DBB57E0EF163287E63_13</vt:lpwstr>
  </property>
</Properties>
</file>