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Theme="minorEastAsia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政府采购活动现场确认声明书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</w:t>
      </w:r>
      <w:r>
        <w:rPr>
          <w:rFonts w:hint="eastAsia" w:ascii="仿宋" w:hAnsi="仿宋" w:eastAsia="仿宋" w:cs="仿宋"/>
          <w:sz w:val="24"/>
          <w:szCs w:val="24"/>
        </w:rPr>
        <w:t>临安区第一人民医院: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本人经由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（公司名称）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（法定代表人名字）</w:t>
      </w:r>
      <w:r>
        <w:rPr>
          <w:rFonts w:hint="eastAsia" w:ascii="仿宋" w:hAnsi="仿宋" w:eastAsia="仿宋" w:cs="仿宋"/>
          <w:sz w:val="24"/>
          <w:szCs w:val="24"/>
        </w:rPr>
        <w:t>合法授权参加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采购活动，经与本单位法人代表(负责人)联系确认，现就有关公平竞争事项郑重声明如下: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本单位与采购人之间□不存在利害关系□存在下列利害关系: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A.投资关系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B.行政隶属关系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C.业务指导关系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D.其他可能影响采购公正的利害关系(如有，请如实说明)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二、现已清楚知道参加本项目采购活动的其他所有供应商名称，本单位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与其他所有供应商之间均不存在利害关系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仿宋"/>
          <w:sz w:val="24"/>
          <w:szCs w:val="24"/>
        </w:rPr>
        <w:t>之间存在下列利害关系_____: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A.法定代表人或负责人或实际控制人是同一人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B.法定代表人或负责人或实际控制人是夫妻关系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C.法定代表人或负责人或实际控制人是直系血亲关系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D.法定代表人或负责人或实际控制人存在三代以内旁系血亲关系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E.法定代表人或负责人或实际控制人存在近姻亲关系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F.法定代表人或负责人或实际控制人存在股份控制或实际控制关系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G.存在共同直接或间接投资设立子公司、联营企业和合营企业情况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H.存在分级代理或代销关系、同一生产制造商关系、管理关系、重要业务(占主营业务收入50%以上)或重要财务往来关系(如融资)等其他实质性控制关系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.其他利害关系情况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三、现已清楚知道并严格遵守政府采购法律法规和现场纪律。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四、我发现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供应商之间存在或可能存在上述第二条第___项利害关系。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投标人代表签名: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96B8"/>
    <w:multiLevelType w:val="singleLevel"/>
    <w:tmpl w:val="895196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CC782A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3B77F4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5EE200BB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larmyy</dc:creator>
  <cp:lastModifiedBy>Administrator</cp:lastModifiedBy>
  <dcterms:modified xsi:type="dcterms:W3CDTF">2024-08-22T09:19:00Z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BEEE9E727A974FC7921BA7784AF78ED0</vt:lpwstr>
  </property>
</Properties>
</file>